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3650E916" wp14:editId="590AD40C">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1B8AE779" wp14:editId="3ADEE06E">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50E916"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14:anchorId="1B8AE779" wp14:editId="3ADEE06E">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C9711C">
        <w:rPr>
          <w:rFonts w:cs="Arial"/>
          <w:b/>
          <w:bCs/>
        </w:rPr>
        <w:t>11 January 2018</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B1379A">
      <w:pPr>
        <w:tabs>
          <w:tab w:val="left" w:pos="2160"/>
        </w:tabs>
        <w:ind w:left="2160" w:hanging="2160"/>
        <w:rPr>
          <w:rFonts w:cs="Arial"/>
          <w:b/>
          <w:bCs/>
        </w:rPr>
      </w:pPr>
      <w:r>
        <w:rPr>
          <w:rFonts w:cs="Arial"/>
          <w:b/>
          <w:bCs/>
        </w:rPr>
        <w:t xml:space="preserve">Title of Report: </w:t>
      </w:r>
      <w:r>
        <w:rPr>
          <w:rFonts w:cs="Arial"/>
          <w:b/>
          <w:bCs/>
        </w:rPr>
        <w:tab/>
      </w:r>
      <w:r w:rsidR="00B1379A" w:rsidRPr="00B1379A">
        <w:rPr>
          <w:rFonts w:cs="Arial"/>
          <w:b/>
          <w:bCs/>
        </w:rPr>
        <w:t>Business Continuity and</w:t>
      </w:r>
      <w:r w:rsidR="00B1379A">
        <w:rPr>
          <w:rFonts w:cs="Arial"/>
          <w:b/>
          <w:bCs/>
        </w:rPr>
        <w:t xml:space="preserve"> </w:t>
      </w:r>
      <w:r w:rsidR="00B1379A" w:rsidRPr="00B1379A">
        <w:rPr>
          <w:rFonts w:cs="Arial"/>
          <w:b/>
          <w:bCs/>
        </w:rPr>
        <w:t>Disaster Recovery</w:t>
      </w:r>
      <w:r w:rsidR="00B1379A">
        <w:rPr>
          <w:rFonts w:cs="Arial"/>
          <w:b/>
          <w:bCs/>
        </w:rPr>
        <w:t xml:space="preserve"> Review – Progress Report</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w:t>
      </w:r>
      <w:r w:rsidR="00B1379A">
        <w:rPr>
          <w:rFonts w:cs="Arial"/>
        </w:rPr>
        <w:t xml:space="preserve">the progress of </w:t>
      </w:r>
      <w:r w:rsidR="00235C47">
        <w:rPr>
          <w:rFonts w:cs="Arial"/>
        </w:rPr>
        <w:t>the</w:t>
      </w:r>
      <w:r w:rsidR="00B1379A">
        <w:rPr>
          <w:rFonts w:cs="Arial"/>
        </w:rPr>
        <w:t xml:space="preserve"> review of </w:t>
      </w:r>
      <w:r w:rsidR="00B1379A" w:rsidRPr="00B1379A">
        <w:rPr>
          <w:rFonts w:cs="Arial"/>
        </w:rPr>
        <w:t xml:space="preserve">Business Continuity and Disaster Recovery </w:t>
      </w:r>
      <w:r w:rsidR="00B1379A">
        <w:rPr>
          <w:rFonts w:cs="Arial"/>
        </w:rPr>
        <w:t>Plans</w:t>
      </w:r>
      <w:r w:rsidR="00266C36">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4C08CE"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0C5DA1">
        <w:rPr>
          <w:rFonts w:cs="Arial"/>
          <w:b/>
        </w:rPr>
        <w:t xml:space="preserve">: </w:t>
      </w:r>
      <w:r>
        <w:rPr>
          <w:rFonts w:cs="Arial"/>
          <w:b/>
        </w:rPr>
        <w:t xml:space="preserve">     </w:t>
      </w:r>
      <w:r w:rsidR="00760922">
        <w:rPr>
          <w:rFonts w:cs="Arial"/>
          <w:b/>
        </w:rPr>
        <w:t>That the Committee</w:t>
      </w:r>
      <w:r w:rsidR="001B33FC">
        <w:rPr>
          <w:rFonts w:cs="Arial"/>
          <w:b/>
        </w:rPr>
        <w:t xml:space="preserve"> n</w:t>
      </w:r>
      <w:r w:rsidR="00C336E7">
        <w:rPr>
          <w:rFonts w:cs="Arial"/>
          <w:b/>
        </w:rPr>
        <w:t>otes</w:t>
      </w:r>
      <w:r w:rsidR="008B29A7">
        <w:rPr>
          <w:rFonts w:cs="Arial"/>
          <w:b/>
        </w:rPr>
        <w:t xml:space="preserve"> the content of the report</w:t>
      </w: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6F39D1" w:rsidP="005D4C4D">
      <w:pPr>
        <w:rPr>
          <w:rFonts w:cs="Arial"/>
          <w:b/>
        </w:rPr>
      </w:pPr>
      <w:r>
        <w:rPr>
          <w:rFonts w:cs="Arial"/>
          <w:b/>
        </w:rPr>
        <w:t>Appendix 1</w:t>
      </w:r>
      <w:r>
        <w:rPr>
          <w:rFonts w:cs="Arial"/>
          <w:b/>
        </w:rPr>
        <w:tab/>
      </w:r>
      <w:r w:rsidRPr="006F39D1">
        <w:t xml:space="preserve"> </w:t>
      </w:r>
      <w:r w:rsidRPr="006F39D1">
        <w:rPr>
          <w:rFonts w:cs="Arial"/>
          <w:b/>
        </w:rPr>
        <w:t xml:space="preserve">Category 1, 2 and 3 </w:t>
      </w:r>
      <w:r>
        <w:rPr>
          <w:rFonts w:cs="Arial"/>
          <w:b/>
        </w:rPr>
        <w:t>C</w:t>
      </w:r>
      <w:r w:rsidRPr="006F39D1">
        <w:rPr>
          <w:rFonts w:cs="Arial"/>
          <w:b/>
        </w:rPr>
        <w:t xml:space="preserve">ritical </w:t>
      </w:r>
      <w:r>
        <w:rPr>
          <w:rFonts w:cs="Arial"/>
          <w:b/>
        </w:rPr>
        <w:t>S</w:t>
      </w:r>
      <w:r w:rsidRPr="006F39D1">
        <w:rPr>
          <w:rFonts w:cs="Arial"/>
          <w:b/>
        </w:rPr>
        <w:t>ervices</w:t>
      </w:r>
    </w:p>
    <w:p w:rsidR="009C493A" w:rsidRDefault="009C493A" w:rsidP="005D4C4D">
      <w:pPr>
        <w:rPr>
          <w:rFonts w:cs="Arial"/>
          <w:b/>
        </w:rPr>
      </w:pPr>
      <w:r>
        <w:rPr>
          <w:rFonts w:cs="Arial"/>
          <w:b/>
        </w:rPr>
        <w:t>Appendix 2</w:t>
      </w:r>
      <w:r>
        <w:rPr>
          <w:rFonts w:cs="Arial"/>
          <w:b/>
        </w:rPr>
        <w:tab/>
        <w:t>Zurich Report Executive Summary</w:t>
      </w:r>
    </w:p>
    <w:p w:rsidR="002D02EC" w:rsidRDefault="002D02EC" w:rsidP="005D4C4D">
      <w:pPr>
        <w:rPr>
          <w:rFonts w:cs="Arial"/>
        </w:rPr>
      </w:pPr>
    </w:p>
    <w:p w:rsidR="00AE0538" w:rsidRDefault="00B1379A" w:rsidP="002D3856">
      <w:pPr>
        <w:rPr>
          <w:rFonts w:cs="Arial"/>
          <w:b/>
        </w:rPr>
      </w:pPr>
      <w:r>
        <w:rPr>
          <w:rFonts w:cs="Arial"/>
          <w:b/>
        </w:rPr>
        <w:t>Background</w:t>
      </w:r>
    </w:p>
    <w:p w:rsidR="00AE0538" w:rsidRDefault="00AE0538" w:rsidP="002D3856">
      <w:pPr>
        <w:rPr>
          <w:rFonts w:cs="Arial"/>
        </w:rPr>
      </w:pPr>
    </w:p>
    <w:p w:rsidR="00B73F00" w:rsidRPr="00B1379A" w:rsidRDefault="00B1379A" w:rsidP="00B1379A">
      <w:pPr>
        <w:numPr>
          <w:ilvl w:val="0"/>
          <w:numId w:val="1"/>
        </w:numPr>
        <w:ind w:left="426" w:hanging="426"/>
        <w:rPr>
          <w:rFonts w:cs="Arial"/>
        </w:rPr>
      </w:pPr>
      <w:r w:rsidRPr="00B1379A">
        <w:rPr>
          <w:rFonts w:cs="Arial"/>
          <w:bCs/>
        </w:rPr>
        <w:t>A Business Continuity and Disaster recovery audit was undertaken by BDO as part of their 2016/17 Internal Audit Programme.  The audit report was considered by the Committee on 1</w:t>
      </w:r>
      <w:r w:rsidRPr="00B1379A">
        <w:rPr>
          <w:rFonts w:cs="Arial"/>
          <w:bCs/>
          <w:vertAlign w:val="superscript"/>
        </w:rPr>
        <w:t>st</w:t>
      </w:r>
      <w:r w:rsidRPr="00B1379A">
        <w:rPr>
          <w:rFonts w:cs="Arial"/>
          <w:bCs/>
        </w:rPr>
        <w:t xml:space="preserve"> March 2017.  Since the audit report was considered by the Committee significant progress </w:t>
      </w:r>
      <w:r w:rsidR="0088406C">
        <w:rPr>
          <w:rFonts w:cs="Arial"/>
          <w:bCs/>
        </w:rPr>
        <w:t>has been made i</w:t>
      </w:r>
      <w:r w:rsidRPr="00B1379A">
        <w:rPr>
          <w:rFonts w:cs="Arial"/>
          <w:bCs/>
        </w:rPr>
        <w:t xml:space="preserve">n reviewing </w:t>
      </w:r>
      <w:r w:rsidR="0088406C">
        <w:rPr>
          <w:rFonts w:cs="Arial"/>
          <w:bCs/>
        </w:rPr>
        <w:t xml:space="preserve">and developing </w:t>
      </w:r>
      <w:r w:rsidRPr="00B1379A">
        <w:rPr>
          <w:rFonts w:cs="Arial"/>
          <w:bCs/>
        </w:rPr>
        <w:t>the Council’s Business Continuity and Disaster Recover Plans.</w:t>
      </w:r>
      <w:r w:rsidR="00235C47">
        <w:rPr>
          <w:rFonts w:cs="Arial"/>
          <w:bCs/>
        </w:rPr>
        <w:t xml:space="preserve">  This report provides an update on that work.</w:t>
      </w:r>
    </w:p>
    <w:p w:rsidR="00A32A7B" w:rsidRDefault="00A32A7B" w:rsidP="00A32A7B">
      <w:pPr>
        <w:ind w:left="426"/>
        <w:rPr>
          <w:rFonts w:cs="Arial"/>
        </w:rPr>
      </w:pPr>
    </w:p>
    <w:p w:rsidR="00B1379A" w:rsidRDefault="00235C47" w:rsidP="00F047D3">
      <w:pPr>
        <w:rPr>
          <w:rFonts w:cs="Arial"/>
          <w:b/>
        </w:rPr>
      </w:pPr>
      <w:r>
        <w:rPr>
          <w:rFonts w:cs="Arial"/>
          <w:b/>
        </w:rPr>
        <w:t xml:space="preserve">Progress </w:t>
      </w:r>
      <w:r w:rsidR="00DC7F39">
        <w:rPr>
          <w:rFonts w:cs="Arial"/>
          <w:b/>
        </w:rPr>
        <w:t>Overview</w:t>
      </w:r>
    </w:p>
    <w:p w:rsidR="00F047D3" w:rsidRPr="00F047D3" w:rsidRDefault="00F047D3" w:rsidP="00A32A7B">
      <w:pPr>
        <w:ind w:left="426"/>
        <w:rPr>
          <w:rFonts w:cs="Arial"/>
        </w:rPr>
      </w:pPr>
    </w:p>
    <w:p w:rsidR="006915FD" w:rsidRPr="006915FD" w:rsidRDefault="006915FD" w:rsidP="006915FD">
      <w:pPr>
        <w:numPr>
          <w:ilvl w:val="0"/>
          <w:numId w:val="1"/>
        </w:numPr>
        <w:ind w:left="426" w:hanging="426"/>
        <w:rPr>
          <w:rFonts w:cs="Arial"/>
        </w:rPr>
      </w:pPr>
      <w:r w:rsidRPr="006915FD">
        <w:rPr>
          <w:rFonts w:cs="Arial"/>
        </w:rPr>
        <w:t xml:space="preserve">Following the audit of the Council’s </w:t>
      </w:r>
      <w:r w:rsidRPr="006915FD">
        <w:rPr>
          <w:rFonts w:cs="Arial"/>
          <w:bCs/>
        </w:rPr>
        <w:t>Business Continuity and Disaster Recover Plans</w:t>
      </w:r>
      <w:r>
        <w:rPr>
          <w:rFonts w:cs="Arial"/>
          <w:bCs/>
        </w:rPr>
        <w:t xml:space="preserve"> (BCPs)</w:t>
      </w:r>
      <w:r w:rsidRPr="006915FD">
        <w:rPr>
          <w:rFonts w:cs="Arial"/>
          <w:bCs/>
        </w:rPr>
        <w:t xml:space="preserve">, </w:t>
      </w:r>
      <w:r w:rsidR="00235C47">
        <w:rPr>
          <w:rFonts w:cs="Arial"/>
        </w:rPr>
        <w:t xml:space="preserve">an </w:t>
      </w:r>
      <w:r w:rsidRPr="006915FD">
        <w:rPr>
          <w:rFonts w:cs="Arial"/>
        </w:rPr>
        <w:t xml:space="preserve">initial </w:t>
      </w:r>
      <w:r w:rsidR="00235C47">
        <w:rPr>
          <w:rFonts w:cs="Arial"/>
        </w:rPr>
        <w:t xml:space="preserve">scoping </w:t>
      </w:r>
      <w:r w:rsidRPr="006915FD">
        <w:rPr>
          <w:rFonts w:cs="Arial"/>
        </w:rPr>
        <w:t xml:space="preserve">meeting </w:t>
      </w:r>
      <w:r w:rsidR="00235C47">
        <w:rPr>
          <w:rFonts w:cs="Arial"/>
        </w:rPr>
        <w:t xml:space="preserve">was held </w:t>
      </w:r>
      <w:r w:rsidRPr="006915FD">
        <w:rPr>
          <w:rFonts w:cs="Arial"/>
        </w:rPr>
        <w:t>with Zurich</w:t>
      </w:r>
      <w:r w:rsidR="00235C47">
        <w:rPr>
          <w:rFonts w:cs="Arial"/>
        </w:rPr>
        <w:t xml:space="preserve">, the Council’s insurance providers to </w:t>
      </w:r>
      <w:r w:rsidRPr="006915FD">
        <w:rPr>
          <w:rFonts w:cs="Arial"/>
        </w:rPr>
        <w:t>discuss how the</w:t>
      </w:r>
      <w:r w:rsidR="00235C47">
        <w:rPr>
          <w:rFonts w:cs="Arial"/>
        </w:rPr>
        <w:t xml:space="preserve"> Council’s BCP’s</w:t>
      </w:r>
      <w:r w:rsidRPr="006915FD">
        <w:rPr>
          <w:rFonts w:cs="Arial"/>
        </w:rPr>
        <w:t xml:space="preserve"> could be made </w:t>
      </w:r>
      <w:r w:rsidR="0088406C">
        <w:rPr>
          <w:rFonts w:cs="Arial"/>
        </w:rPr>
        <w:t xml:space="preserve">more </w:t>
      </w:r>
      <w:r w:rsidRPr="006915FD">
        <w:rPr>
          <w:rFonts w:cs="Arial"/>
        </w:rPr>
        <w:t xml:space="preserve">robust and fit for purpose.  In line with the </w:t>
      </w:r>
      <w:r w:rsidRPr="006915FD">
        <w:rPr>
          <w:rFonts w:cs="Arial"/>
        </w:rPr>
        <w:lastRenderedPageBreak/>
        <w:t xml:space="preserve">recommendations from the audit, it was </w:t>
      </w:r>
      <w:r w:rsidR="00235C47">
        <w:rPr>
          <w:rFonts w:cs="Arial"/>
        </w:rPr>
        <w:t xml:space="preserve">subsequently </w:t>
      </w:r>
      <w:r w:rsidRPr="006915FD">
        <w:rPr>
          <w:rFonts w:cs="Arial"/>
        </w:rPr>
        <w:t xml:space="preserve">agreed that the </w:t>
      </w:r>
      <w:r w:rsidR="00235C47">
        <w:rPr>
          <w:rFonts w:cs="Arial"/>
        </w:rPr>
        <w:t xml:space="preserve">scope </w:t>
      </w:r>
      <w:r w:rsidRPr="006915FD">
        <w:rPr>
          <w:rFonts w:cs="Arial"/>
        </w:rPr>
        <w:t xml:space="preserve">of the work </w:t>
      </w:r>
      <w:r w:rsidR="00235C47">
        <w:rPr>
          <w:rFonts w:cs="Arial"/>
        </w:rPr>
        <w:t xml:space="preserve">with Zurich </w:t>
      </w:r>
      <w:r w:rsidRPr="006915FD">
        <w:rPr>
          <w:rFonts w:cs="Arial"/>
        </w:rPr>
        <w:t xml:space="preserve">would </w:t>
      </w:r>
      <w:r w:rsidR="00235C47">
        <w:rPr>
          <w:rFonts w:cs="Arial"/>
        </w:rPr>
        <w:t>include</w:t>
      </w:r>
      <w:r w:rsidRPr="006915FD">
        <w:rPr>
          <w:rFonts w:cs="Arial"/>
        </w:rPr>
        <w:t>:</w:t>
      </w:r>
    </w:p>
    <w:p w:rsidR="006915FD" w:rsidRPr="006915FD" w:rsidRDefault="006915FD" w:rsidP="006915FD">
      <w:pPr>
        <w:pStyle w:val="ListParagraph"/>
        <w:numPr>
          <w:ilvl w:val="0"/>
          <w:numId w:val="41"/>
        </w:numPr>
        <w:rPr>
          <w:rFonts w:cs="Arial"/>
        </w:rPr>
      </w:pPr>
      <w:r w:rsidRPr="006915FD">
        <w:rPr>
          <w:rFonts w:cs="Arial"/>
        </w:rPr>
        <w:t>Refresher session on BCP</w:t>
      </w:r>
    </w:p>
    <w:p w:rsidR="006915FD" w:rsidRPr="006915FD" w:rsidRDefault="006915FD" w:rsidP="006915FD">
      <w:pPr>
        <w:pStyle w:val="ListParagraph"/>
        <w:numPr>
          <w:ilvl w:val="0"/>
          <w:numId w:val="41"/>
        </w:numPr>
        <w:rPr>
          <w:rFonts w:cs="Arial"/>
        </w:rPr>
      </w:pPr>
      <w:r w:rsidRPr="006915FD">
        <w:rPr>
          <w:rFonts w:cs="Arial"/>
        </w:rPr>
        <w:t>Review the plans</w:t>
      </w:r>
    </w:p>
    <w:p w:rsidR="006915FD" w:rsidRPr="006915FD" w:rsidRDefault="006915FD" w:rsidP="006915FD">
      <w:pPr>
        <w:pStyle w:val="ListParagraph"/>
        <w:numPr>
          <w:ilvl w:val="0"/>
          <w:numId w:val="41"/>
        </w:numPr>
        <w:rPr>
          <w:rFonts w:cs="Arial"/>
        </w:rPr>
      </w:pPr>
      <w:r w:rsidRPr="006915FD">
        <w:rPr>
          <w:rFonts w:cs="Arial"/>
        </w:rPr>
        <w:t>Test the plans</w:t>
      </w:r>
    </w:p>
    <w:p w:rsidR="006915FD" w:rsidRDefault="006915FD" w:rsidP="006915FD">
      <w:pPr>
        <w:pStyle w:val="ListParagraph"/>
        <w:numPr>
          <w:ilvl w:val="0"/>
          <w:numId w:val="41"/>
        </w:numPr>
        <w:rPr>
          <w:rFonts w:cs="Arial"/>
        </w:rPr>
      </w:pPr>
      <w:r w:rsidRPr="006915FD">
        <w:rPr>
          <w:rFonts w:cs="Arial"/>
        </w:rPr>
        <w:t xml:space="preserve">Feedback and </w:t>
      </w:r>
      <w:r>
        <w:rPr>
          <w:rFonts w:cs="Arial"/>
        </w:rPr>
        <w:t>revise</w:t>
      </w:r>
      <w:r w:rsidRPr="006915FD">
        <w:rPr>
          <w:rFonts w:cs="Arial"/>
        </w:rPr>
        <w:t xml:space="preserve"> the plans</w:t>
      </w:r>
    </w:p>
    <w:p w:rsidR="00F047D3" w:rsidRPr="00F047D3" w:rsidRDefault="00F047D3" w:rsidP="00F047D3">
      <w:pPr>
        <w:ind w:left="426"/>
        <w:rPr>
          <w:rFonts w:cs="Arial"/>
        </w:rPr>
      </w:pPr>
      <w:r>
        <w:rPr>
          <w:rFonts w:cs="Arial"/>
        </w:rPr>
        <w:t>This work was undertaken as part of the risk management support provision included in the Council’s insurance contract.</w:t>
      </w:r>
    </w:p>
    <w:p w:rsidR="006915FD" w:rsidRDefault="006915FD" w:rsidP="006915FD">
      <w:pPr>
        <w:ind w:left="426"/>
        <w:rPr>
          <w:rFonts w:cs="Arial"/>
        </w:rPr>
      </w:pPr>
    </w:p>
    <w:p w:rsidR="006915FD" w:rsidRPr="006915FD" w:rsidRDefault="006915FD" w:rsidP="006915FD">
      <w:pPr>
        <w:numPr>
          <w:ilvl w:val="0"/>
          <w:numId w:val="1"/>
        </w:numPr>
        <w:ind w:left="426" w:hanging="426"/>
        <w:rPr>
          <w:rFonts w:cs="Arial"/>
        </w:rPr>
      </w:pPr>
      <w:r w:rsidRPr="006915FD">
        <w:rPr>
          <w:rFonts w:cs="Arial"/>
        </w:rPr>
        <w:t xml:space="preserve">Six stages were identified: </w:t>
      </w:r>
    </w:p>
    <w:p w:rsidR="006915FD" w:rsidRPr="006915FD" w:rsidRDefault="006915FD" w:rsidP="006915FD">
      <w:pPr>
        <w:ind w:left="426"/>
        <w:rPr>
          <w:rFonts w:cs="Arial"/>
        </w:rPr>
      </w:pPr>
    </w:p>
    <w:p w:rsidR="006915FD" w:rsidRPr="006915FD" w:rsidRDefault="006915FD" w:rsidP="006915FD">
      <w:pPr>
        <w:ind w:left="426"/>
        <w:rPr>
          <w:rFonts w:cs="Arial"/>
        </w:rPr>
      </w:pPr>
      <w:r w:rsidRPr="00AD0F02">
        <w:rPr>
          <w:rFonts w:cs="Arial"/>
          <w:u w:val="single"/>
        </w:rPr>
        <w:t>Stage 1</w:t>
      </w:r>
      <w:r w:rsidRPr="00AD0F02">
        <w:rPr>
          <w:rFonts w:cs="Arial"/>
        </w:rPr>
        <w:t xml:space="preserve"> – A workshop, led by Zurich</w:t>
      </w:r>
      <w:r w:rsidRPr="006915FD">
        <w:rPr>
          <w:rFonts w:cs="Arial"/>
        </w:rPr>
        <w:t>, to cover:</w:t>
      </w:r>
    </w:p>
    <w:p w:rsidR="006915FD" w:rsidRPr="00AD0F02" w:rsidRDefault="006915FD" w:rsidP="00AD0F02">
      <w:pPr>
        <w:pStyle w:val="ListParagraph"/>
        <w:numPr>
          <w:ilvl w:val="0"/>
          <w:numId w:val="42"/>
        </w:numPr>
        <w:rPr>
          <w:rFonts w:cs="Arial"/>
        </w:rPr>
      </w:pPr>
      <w:r w:rsidRPr="00AD0F02">
        <w:rPr>
          <w:rFonts w:cs="Arial"/>
        </w:rPr>
        <w:t>An overview of the process, what Business Continuity Management is and why it is important.</w:t>
      </w:r>
    </w:p>
    <w:p w:rsidR="006915FD" w:rsidRPr="00AD0F02" w:rsidRDefault="006915FD" w:rsidP="00AD0F02">
      <w:pPr>
        <w:pStyle w:val="ListParagraph"/>
        <w:numPr>
          <w:ilvl w:val="0"/>
          <w:numId w:val="42"/>
        </w:numPr>
        <w:rPr>
          <w:rFonts w:cs="Arial"/>
        </w:rPr>
      </w:pPr>
      <w:r w:rsidRPr="00AD0F02">
        <w:rPr>
          <w:rFonts w:cs="Arial"/>
        </w:rPr>
        <w:t>The types of incidents or crisis the Council might face and some of the challenges that may be met with when responding.</w:t>
      </w:r>
    </w:p>
    <w:p w:rsidR="006915FD" w:rsidRPr="00AD0F02" w:rsidRDefault="006915FD" w:rsidP="00AD0F02">
      <w:pPr>
        <w:pStyle w:val="ListParagraph"/>
        <w:numPr>
          <w:ilvl w:val="0"/>
          <w:numId w:val="42"/>
        </w:numPr>
        <w:rPr>
          <w:rFonts w:cs="Arial"/>
        </w:rPr>
      </w:pPr>
      <w:r w:rsidRPr="00AD0F02">
        <w:rPr>
          <w:rFonts w:cs="Arial"/>
        </w:rPr>
        <w:t>What a good Business Continuity Plan looks like.</w:t>
      </w:r>
    </w:p>
    <w:p w:rsidR="006915FD" w:rsidRPr="00AD0F02" w:rsidRDefault="00AD0F02" w:rsidP="00AD0F02">
      <w:pPr>
        <w:pStyle w:val="ListParagraph"/>
        <w:numPr>
          <w:ilvl w:val="0"/>
          <w:numId w:val="42"/>
        </w:numPr>
        <w:rPr>
          <w:rFonts w:cs="Arial"/>
        </w:rPr>
      </w:pPr>
      <w:r w:rsidRPr="00AD0F02">
        <w:rPr>
          <w:rFonts w:cs="Arial"/>
        </w:rPr>
        <w:t>P</w:t>
      </w:r>
      <w:r w:rsidR="006915FD" w:rsidRPr="00AD0F02">
        <w:rPr>
          <w:rFonts w:cs="Arial"/>
        </w:rPr>
        <w:t>ractical tips and best practice on how to write and develop effective Business Continuity Plans.</w:t>
      </w:r>
    </w:p>
    <w:p w:rsidR="006915FD" w:rsidRPr="006915FD" w:rsidRDefault="006915FD" w:rsidP="00AD0F02">
      <w:pPr>
        <w:ind w:left="426"/>
        <w:rPr>
          <w:rFonts w:cs="Arial"/>
        </w:rPr>
      </w:pPr>
    </w:p>
    <w:p w:rsidR="006915FD" w:rsidRPr="006915FD" w:rsidRDefault="006915FD" w:rsidP="00AD0F02">
      <w:pPr>
        <w:ind w:left="426"/>
        <w:rPr>
          <w:rFonts w:cs="Arial"/>
        </w:rPr>
      </w:pPr>
      <w:r w:rsidRPr="00AD0F02">
        <w:rPr>
          <w:rFonts w:cs="Arial"/>
          <w:u w:val="single"/>
        </w:rPr>
        <w:t>Stage 2</w:t>
      </w:r>
      <w:r w:rsidRPr="006915FD">
        <w:rPr>
          <w:rFonts w:cs="Arial"/>
        </w:rPr>
        <w:t xml:space="preserve"> – Service Heads to review and update their service area Business Continuity Plans in accordance with advice and support received from Financial Services and Zurich.</w:t>
      </w:r>
    </w:p>
    <w:p w:rsidR="006915FD" w:rsidRPr="006915FD" w:rsidRDefault="006915FD" w:rsidP="00AD0F02">
      <w:pPr>
        <w:ind w:left="426"/>
        <w:rPr>
          <w:rFonts w:cs="Arial"/>
        </w:rPr>
      </w:pPr>
    </w:p>
    <w:p w:rsidR="006915FD" w:rsidRPr="006915FD" w:rsidRDefault="006915FD" w:rsidP="00AD0F02">
      <w:pPr>
        <w:ind w:left="426"/>
        <w:rPr>
          <w:rFonts w:cs="Arial"/>
        </w:rPr>
      </w:pPr>
      <w:proofErr w:type="gramStart"/>
      <w:r w:rsidRPr="00AD0F02">
        <w:rPr>
          <w:rFonts w:cs="Arial"/>
          <w:u w:val="single"/>
        </w:rPr>
        <w:t>Stage 3</w:t>
      </w:r>
      <w:r w:rsidRPr="006915FD">
        <w:rPr>
          <w:rFonts w:cs="Arial"/>
        </w:rPr>
        <w:t xml:space="preserve"> – Once all </w:t>
      </w:r>
      <w:r w:rsidR="00D57952">
        <w:rPr>
          <w:rFonts w:cs="Arial"/>
        </w:rPr>
        <w:t>P</w:t>
      </w:r>
      <w:r w:rsidRPr="006915FD">
        <w:rPr>
          <w:rFonts w:cs="Arial"/>
        </w:rPr>
        <w:t xml:space="preserve">lans </w:t>
      </w:r>
      <w:r w:rsidR="00D57952">
        <w:rPr>
          <w:rFonts w:cs="Arial"/>
        </w:rPr>
        <w:t>have been</w:t>
      </w:r>
      <w:r w:rsidRPr="006915FD">
        <w:rPr>
          <w:rFonts w:cs="Arial"/>
        </w:rPr>
        <w:t xml:space="preserve"> updated</w:t>
      </w:r>
      <w:r w:rsidR="00D57952">
        <w:rPr>
          <w:rFonts w:cs="Arial"/>
        </w:rPr>
        <w:t xml:space="preserve"> internally</w:t>
      </w:r>
      <w:r w:rsidRPr="006915FD">
        <w:rPr>
          <w:rFonts w:cs="Arial"/>
        </w:rPr>
        <w:t xml:space="preserve">, Zurich </w:t>
      </w:r>
      <w:r w:rsidR="00AD0F02">
        <w:rPr>
          <w:rFonts w:cs="Arial"/>
        </w:rPr>
        <w:t>to</w:t>
      </w:r>
      <w:r w:rsidRPr="006915FD">
        <w:rPr>
          <w:rFonts w:cs="Arial"/>
        </w:rPr>
        <w:t xml:space="preserve"> carry out an independent desktop review of the revised plans in line with good practice and </w:t>
      </w:r>
      <w:r w:rsidR="00AD0F02">
        <w:rPr>
          <w:rFonts w:cs="Arial"/>
        </w:rPr>
        <w:t>to</w:t>
      </w:r>
      <w:r w:rsidRPr="006915FD">
        <w:rPr>
          <w:rFonts w:cs="Arial"/>
        </w:rPr>
        <w:t xml:space="preserve"> provide a report on their findings</w:t>
      </w:r>
      <w:r w:rsidR="00AD0F02">
        <w:rPr>
          <w:rFonts w:cs="Arial"/>
        </w:rPr>
        <w:t>.</w:t>
      </w:r>
      <w:proofErr w:type="gramEnd"/>
    </w:p>
    <w:p w:rsidR="006915FD" w:rsidRPr="006915FD" w:rsidRDefault="006915FD" w:rsidP="00AD0F02">
      <w:pPr>
        <w:ind w:left="426"/>
        <w:rPr>
          <w:rFonts w:cs="Arial"/>
          <w:b/>
        </w:rPr>
      </w:pPr>
    </w:p>
    <w:p w:rsidR="006915FD" w:rsidRPr="006915FD" w:rsidRDefault="006915FD" w:rsidP="00AD0F02">
      <w:pPr>
        <w:ind w:left="426"/>
        <w:rPr>
          <w:rFonts w:cs="Arial"/>
          <w:b/>
        </w:rPr>
      </w:pPr>
      <w:r w:rsidRPr="00AD0F02">
        <w:rPr>
          <w:rFonts w:cs="Arial"/>
          <w:u w:val="single"/>
        </w:rPr>
        <w:t>Stage 4</w:t>
      </w:r>
      <w:r w:rsidRPr="006915FD">
        <w:rPr>
          <w:rFonts w:cs="Arial"/>
          <w:b/>
        </w:rPr>
        <w:t xml:space="preserve"> </w:t>
      </w:r>
      <w:r w:rsidRPr="006915FD">
        <w:rPr>
          <w:rFonts w:cs="Arial"/>
        </w:rPr>
        <w:t>–</w:t>
      </w:r>
      <w:r w:rsidRPr="006915FD">
        <w:rPr>
          <w:rFonts w:cs="Arial"/>
          <w:b/>
        </w:rPr>
        <w:t xml:space="preserve"> </w:t>
      </w:r>
      <w:r w:rsidRPr="006915FD">
        <w:rPr>
          <w:rFonts w:cs="Arial"/>
        </w:rPr>
        <w:t xml:space="preserve">Heads of Service </w:t>
      </w:r>
      <w:r w:rsidR="00AD0F02">
        <w:rPr>
          <w:rFonts w:cs="Arial"/>
        </w:rPr>
        <w:t>to</w:t>
      </w:r>
      <w:r w:rsidRPr="006915FD">
        <w:rPr>
          <w:rFonts w:cs="Arial"/>
        </w:rPr>
        <w:t xml:space="preserve"> update their plans </w:t>
      </w:r>
      <w:r w:rsidR="00D57952">
        <w:rPr>
          <w:rFonts w:cs="Arial"/>
        </w:rPr>
        <w:t xml:space="preserve">as necessary </w:t>
      </w:r>
      <w:r w:rsidRPr="006915FD">
        <w:rPr>
          <w:rFonts w:cs="Arial"/>
        </w:rPr>
        <w:t xml:space="preserve">following </w:t>
      </w:r>
      <w:r w:rsidR="00D57952">
        <w:rPr>
          <w:rFonts w:cs="Arial"/>
        </w:rPr>
        <w:t>subsequent</w:t>
      </w:r>
      <w:r w:rsidRPr="006915FD">
        <w:rPr>
          <w:rFonts w:cs="Arial"/>
        </w:rPr>
        <w:t xml:space="preserve"> feedback. </w:t>
      </w:r>
    </w:p>
    <w:p w:rsidR="006915FD" w:rsidRPr="006915FD" w:rsidRDefault="006915FD" w:rsidP="00AD0F02">
      <w:pPr>
        <w:ind w:left="426"/>
        <w:rPr>
          <w:rFonts w:cs="Arial"/>
          <w:b/>
        </w:rPr>
      </w:pPr>
    </w:p>
    <w:p w:rsidR="006915FD" w:rsidRPr="006915FD" w:rsidRDefault="006915FD" w:rsidP="00AD0F02">
      <w:pPr>
        <w:ind w:left="426"/>
        <w:rPr>
          <w:rFonts w:cs="Arial"/>
        </w:rPr>
      </w:pPr>
      <w:r w:rsidRPr="00AD0F02">
        <w:rPr>
          <w:rFonts w:cs="Arial"/>
          <w:u w:val="single"/>
        </w:rPr>
        <w:t>Stage 5</w:t>
      </w:r>
      <w:r w:rsidRPr="006915FD">
        <w:rPr>
          <w:rFonts w:cs="Arial"/>
          <w:b/>
        </w:rPr>
        <w:t xml:space="preserve"> </w:t>
      </w:r>
      <w:r w:rsidRPr="006915FD">
        <w:rPr>
          <w:rFonts w:cs="Arial"/>
        </w:rPr>
        <w:t xml:space="preserve">- Zurich </w:t>
      </w:r>
      <w:r w:rsidR="00D57952">
        <w:rPr>
          <w:rFonts w:cs="Arial"/>
        </w:rPr>
        <w:t>to provide</w:t>
      </w:r>
      <w:r w:rsidRPr="006915FD">
        <w:rPr>
          <w:rFonts w:cs="Arial"/>
        </w:rPr>
        <w:t xml:space="preserve"> a realistic and challenging test of the Business Continuity Plans (and the Corporate BCP) </w:t>
      </w:r>
      <w:r w:rsidR="006F39D1">
        <w:rPr>
          <w:rFonts w:cs="Arial"/>
        </w:rPr>
        <w:t>on 18</w:t>
      </w:r>
      <w:r w:rsidR="006F39D1" w:rsidRPr="006F39D1">
        <w:rPr>
          <w:rFonts w:cs="Arial"/>
          <w:vertAlign w:val="superscript"/>
        </w:rPr>
        <w:t>th</w:t>
      </w:r>
      <w:r w:rsidR="006F39D1">
        <w:rPr>
          <w:rFonts w:cs="Arial"/>
        </w:rPr>
        <w:t xml:space="preserve"> October 2017 </w:t>
      </w:r>
      <w:r w:rsidRPr="006915FD">
        <w:rPr>
          <w:rFonts w:cs="Arial"/>
        </w:rPr>
        <w:t xml:space="preserve">so that the Council can be confident that the </w:t>
      </w:r>
      <w:r w:rsidR="00D57952">
        <w:rPr>
          <w:rFonts w:cs="Arial"/>
        </w:rPr>
        <w:t>P</w:t>
      </w:r>
      <w:r w:rsidRPr="006915FD">
        <w:rPr>
          <w:rFonts w:cs="Arial"/>
        </w:rPr>
        <w:t xml:space="preserve">lans are broadly effective.  The exercise will also help raise awareness of the importance of the </w:t>
      </w:r>
      <w:r w:rsidR="00D57952">
        <w:rPr>
          <w:rFonts w:cs="Arial"/>
        </w:rPr>
        <w:t>P</w:t>
      </w:r>
      <w:r w:rsidRPr="006915FD">
        <w:rPr>
          <w:rFonts w:cs="Arial"/>
        </w:rPr>
        <w:t xml:space="preserve">lans and help identify any gaps or weaknesses.  The test exercise </w:t>
      </w:r>
      <w:r w:rsidR="0088406C">
        <w:rPr>
          <w:rFonts w:cs="Arial"/>
        </w:rPr>
        <w:t>to</w:t>
      </w:r>
      <w:r w:rsidRPr="006915FD">
        <w:rPr>
          <w:rFonts w:cs="Arial"/>
        </w:rPr>
        <w:t xml:space="preserve"> involve:</w:t>
      </w:r>
    </w:p>
    <w:p w:rsidR="006915FD" w:rsidRPr="00AD0F02" w:rsidRDefault="006915FD" w:rsidP="00AD0F02">
      <w:pPr>
        <w:pStyle w:val="ListParagraph"/>
        <w:numPr>
          <w:ilvl w:val="0"/>
          <w:numId w:val="43"/>
        </w:numPr>
        <w:rPr>
          <w:rFonts w:cs="Arial"/>
        </w:rPr>
      </w:pPr>
      <w:r w:rsidRPr="00AD0F02">
        <w:rPr>
          <w:rFonts w:cs="Arial"/>
        </w:rPr>
        <w:t>Presenting Heads of Service and their teams with a scenario or scenarios that would create a crisis or major disruption.</w:t>
      </w:r>
    </w:p>
    <w:p w:rsidR="006915FD" w:rsidRPr="00AD0F02" w:rsidRDefault="006915FD" w:rsidP="00AD0F02">
      <w:pPr>
        <w:pStyle w:val="ListParagraph"/>
        <w:numPr>
          <w:ilvl w:val="0"/>
          <w:numId w:val="43"/>
        </w:numPr>
        <w:rPr>
          <w:rFonts w:cs="Arial"/>
        </w:rPr>
      </w:pPr>
      <w:r w:rsidRPr="00AD0F02">
        <w:rPr>
          <w:rFonts w:cs="Arial"/>
        </w:rPr>
        <w:t>Use of the plans to respond to the crisis.</w:t>
      </w:r>
    </w:p>
    <w:p w:rsidR="006915FD" w:rsidRPr="00AD0F02" w:rsidRDefault="006915FD" w:rsidP="00AD0F02">
      <w:pPr>
        <w:pStyle w:val="ListParagraph"/>
        <w:numPr>
          <w:ilvl w:val="0"/>
          <w:numId w:val="43"/>
        </w:numPr>
        <w:rPr>
          <w:rFonts w:cs="Arial"/>
        </w:rPr>
      </w:pPr>
      <w:r w:rsidRPr="00AD0F02">
        <w:rPr>
          <w:rFonts w:cs="Arial"/>
        </w:rPr>
        <w:t xml:space="preserve">Identifying any gaps or potential weaknesses in the plans. </w:t>
      </w:r>
    </w:p>
    <w:p w:rsidR="006915FD" w:rsidRPr="006915FD" w:rsidRDefault="006915FD" w:rsidP="00AD0F02">
      <w:pPr>
        <w:ind w:left="426"/>
        <w:rPr>
          <w:rFonts w:cs="Arial"/>
        </w:rPr>
      </w:pPr>
    </w:p>
    <w:p w:rsidR="006915FD" w:rsidRPr="006915FD" w:rsidRDefault="006915FD" w:rsidP="00AD0F02">
      <w:pPr>
        <w:ind w:left="426"/>
        <w:rPr>
          <w:rFonts w:cs="Arial"/>
        </w:rPr>
      </w:pPr>
      <w:r w:rsidRPr="00AD0F02">
        <w:rPr>
          <w:rFonts w:cs="Arial"/>
          <w:u w:val="single"/>
        </w:rPr>
        <w:t>Stage 6</w:t>
      </w:r>
      <w:r w:rsidRPr="006915FD">
        <w:rPr>
          <w:rFonts w:cs="Arial"/>
        </w:rPr>
        <w:t xml:space="preserve"> –</w:t>
      </w:r>
      <w:r w:rsidRPr="006915FD">
        <w:rPr>
          <w:rFonts w:cs="Arial"/>
          <w:b/>
        </w:rPr>
        <w:t xml:space="preserve"> </w:t>
      </w:r>
      <w:r w:rsidRPr="006915FD">
        <w:rPr>
          <w:rFonts w:cs="Arial"/>
        </w:rPr>
        <w:t xml:space="preserve">After the test, Zurich </w:t>
      </w:r>
      <w:r w:rsidR="00AD0F02">
        <w:rPr>
          <w:rFonts w:cs="Arial"/>
        </w:rPr>
        <w:t>to</w:t>
      </w:r>
      <w:r w:rsidRPr="006915FD">
        <w:rPr>
          <w:rFonts w:cs="Arial"/>
        </w:rPr>
        <w:t xml:space="preserve"> provide a short report with action points and recommendations for the Council to review and implement. </w:t>
      </w:r>
    </w:p>
    <w:p w:rsidR="00AD0F02" w:rsidRDefault="00AD0F02" w:rsidP="00AD0F02">
      <w:pPr>
        <w:ind w:left="426"/>
        <w:rPr>
          <w:rFonts w:cs="Arial"/>
        </w:rPr>
      </w:pPr>
    </w:p>
    <w:p w:rsidR="00AD0F02" w:rsidRDefault="006915FD" w:rsidP="006915FD">
      <w:pPr>
        <w:numPr>
          <w:ilvl w:val="0"/>
          <w:numId w:val="1"/>
        </w:numPr>
        <w:ind w:left="426" w:hanging="426"/>
        <w:rPr>
          <w:rFonts w:cs="Arial"/>
        </w:rPr>
      </w:pPr>
      <w:r w:rsidRPr="006915FD">
        <w:rPr>
          <w:rFonts w:cs="Arial"/>
        </w:rPr>
        <w:t xml:space="preserve">Each of the stages has now been completed </w:t>
      </w:r>
      <w:r w:rsidR="00AD0F02">
        <w:rPr>
          <w:rFonts w:cs="Arial"/>
        </w:rPr>
        <w:t>and a draft report from Zurich Risk Engineering UK has been received.</w:t>
      </w:r>
      <w:r w:rsidR="009C493A">
        <w:rPr>
          <w:rFonts w:cs="Arial"/>
        </w:rPr>
        <w:t xml:space="preserve">  The Executive Summary can be found at Appendix 2.</w:t>
      </w:r>
    </w:p>
    <w:p w:rsidR="00AD0F02" w:rsidRDefault="00AD0F02" w:rsidP="00AD0F02">
      <w:pPr>
        <w:ind w:left="426"/>
        <w:rPr>
          <w:rFonts w:cs="Arial"/>
        </w:rPr>
      </w:pPr>
    </w:p>
    <w:p w:rsidR="00AD0F02" w:rsidRPr="009C12C9" w:rsidRDefault="009C12C9" w:rsidP="009C12C9">
      <w:pPr>
        <w:rPr>
          <w:rFonts w:cs="Arial"/>
          <w:b/>
        </w:rPr>
      </w:pPr>
      <w:r w:rsidRPr="009C12C9">
        <w:rPr>
          <w:rFonts w:cs="Arial"/>
          <w:b/>
        </w:rPr>
        <w:t>Business Continuity Group</w:t>
      </w:r>
    </w:p>
    <w:p w:rsidR="00AD0F02" w:rsidRDefault="00AD0F02" w:rsidP="00AD0F02">
      <w:pPr>
        <w:ind w:left="426"/>
        <w:rPr>
          <w:rFonts w:cs="Arial"/>
        </w:rPr>
      </w:pPr>
    </w:p>
    <w:p w:rsidR="006915FD" w:rsidRPr="009C12C9" w:rsidRDefault="009C12C9" w:rsidP="006915FD">
      <w:pPr>
        <w:numPr>
          <w:ilvl w:val="0"/>
          <w:numId w:val="1"/>
        </w:numPr>
        <w:ind w:left="426" w:hanging="426"/>
        <w:rPr>
          <w:rFonts w:cs="Arial"/>
        </w:rPr>
      </w:pPr>
      <w:r w:rsidRPr="009C12C9">
        <w:rPr>
          <w:rFonts w:cs="Arial"/>
        </w:rPr>
        <w:t>A Business Continuity Group has</w:t>
      </w:r>
      <w:r w:rsidR="00DC7F39">
        <w:rPr>
          <w:rFonts w:cs="Arial"/>
        </w:rPr>
        <w:t xml:space="preserve"> also</w:t>
      </w:r>
      <w:r w:rsidRPr="009C12C9">
        <w:rPr>
          <w:rFonts w:cs="Arial"/>
        </w:rPr>
        <w:t xml:space="preserve"> been formed which has members representing each of the Council’s service areas.  This group</w:t>
      </w:r>
      <w:r w:rsidR="005414A6">
        <w:rPr>
          <w:rFonts w:cs="Arial"/>
        </w:rPr>
        <w:t xml:space="preserve">’s Terms of Reference are </w:t>
      </w:r>
      <w:r w:rsidRPr="009C12C9">
        <w:rPr>
          <w:rFonts w:cs="Arial"/>
        </w:rPr>
        <w:t xml:space="preserve">to progress the updates to the Business Continuity Plans and to deal with the issues arising from the audit report and also actions arising from the Zurich report.  Progress to date can </w:t>
      </w:r>
      <w:r w:rsidR="006915FD" w:rsidRPr="009C12C9">
        <w:rPr>
          <w:rFonts w:cs="Arial"/>
        </w:rPr>
        <w:t>be measured against the seven areas for improvement id</w:t>
      </w:r>
      <w:r>
        <w:rPr>
          <w:rFonts w:cs="Arial"/>
        </w:rPr>
        <w:t>entified in BDO’s audit report.</w:t>
      </w:r>
      <w:r w:rsidR="006E0AC6">
        <w:rPr>
          <w:rFonts w:cs="Arial"/>
        </w:rPr>
        <w:t xml:space="preserve">  The Group has met in full once but there have been a number of subgroup meetings and work has been requested via circulated emails.</w:t>
      </w:r>
      <w:r w:rsidR="00BC6B51">
        <w:rPr>
          <w:rFonts w:cs="Arial"/>
        </w:rPr>
        <w:t xml:space="preserve">  A further meeting is planned for later in January.</w:t>
      </w:r>
    </w:p>
    <w:p w:rsidR="006915FD" w:rsidRDefault="006915FD" w:rsidP="009C12C9">
      <w:pPr>
        <w:ind w:left="426"/>
        <w:rPr>
          <w:rFonts w:cs="Arial"/>
        </w:rPr>
      </w:pPr>
    </w:p>
    <w:p w:rsidR="009C12C9" w:rsidRPr="009C12C9" w:rsidRDefault="009C12C9" w:rsidP="009C12C9">
      <w:pPr>
        <w:rPr>
          <w:rFonts w:cs="Arial"/>
          <w:b/>
        </w:rPr>
      </w:pPr>
      <w:r w:rsidRPr="009C12C9">
        <w:rPr>
          <w:rFonts w:cs="Arial"/>
          <w:b/>
        </w:rPr>
        <w:t xml:space="preserve">Progress </w:t>
      </w:r>
      <w:r w:rsidR="00DC7F39">
        <w:rPr>
          <w:rFonts w:cs="Arial"/>
          <w:b/>
        </w:rPr>
        <w:t>against Audit Recommendations</w:t>
      </w:r>
      <w:r w:rsidR="00CD7485">
        <w:rPr>
          <w:rFonts w:cs="Arial"/>
          <w:b/>
        </w:rPr>
        <w:t xml:space="preserve"> and Actions Going Forward</w:t>
      </w:r>
    </w:p>
    <w:p w:rsidR="006915FD" w:rsidRPr="006915FD" w:rsidRDefault="006915FD" w:rsidP="009C12C9">
      <w:pPr>
        <w:ind w:left="426"/>
        <w:rPr>
          <w:rFonts w:cs="Arial"/>
        </w:rPr>
      </w:pPr>
    </w:p>
    <w:p w:rsidR="006915FD" w:rsidRPr="009C12C9" w:rsidRDefault="009C12C9" w:rsidP="009C12C9">
      <w:pPr>
        <w:ind w:left="426"/>
        <w:rPr>
          <w:rFonts w:cs="Arial"/>
          <w:u w:val="single"/>
        </w:rPr>
      </w:pPr>
      <w:r w:rsidRPr="009C12C9">
        <w:rPr>
          <w:rFonts w:cs="Arial"/>
          <w:u w:val="single"/>
        </w:rPr>
        <w:t xml:space="preserve">Finding </w:t>
      </w:r>
      <w:r w:rsidR="006915FD" w:rsidRPr="009C12C9">
        <w:rPr>
          <w:rFonts w:cs="Arial"/>
          <w:u w:val="single"/>
        </w:rPr>
        <w:t>1</w:t>
      </w:r>
      <w:r w:rsidRPr="009C12C9">
        <w:rPr>
          <w:rFonts w:cs="Arial"/>
          <w:u w:val="single"/>
        </w:rPr>
        <w:t xml:space="preserve"> – the </w:t>
      </w:r>
      <w:r w:rsidR="006915FD" w:rsidRPr="009C12C9">
        <w:rPr>
          <w:rFonts w:cs="Arial"/>
          <w:u w:val="single"/>
        </w:rPr>
        <w:t>Council’s services have not been assessed to determine their criticality.</w:t>
      </w:r>
    </w:p>
    <w:p w:rsidR="009C12C9" w:rsidRDefault="009C12C9" w:rsidP="009C12C9">
      <w:pPr>
        <w:ind w:left="426"/>
        <w:rPr>
          <w:rFonts w:cs="Arial"/>
        </w:rPr>
      </w:pPr>
    </w:p>
    <w:p w:rsidR="006915FD" w:rsidRPr="006915FD" w:rsidRDefault="006915FD" w:rsidP="006915FD">
      <w:pPr>
        <w:numPr>
          <w:ilvl w:val="0"/>
          <w:numId w:val="1"/>
        </w:numPr>
        <w:ind w:left="426" w:hanging="426"/>
        <w:rPr>
          <w:rFonts w:cs="Arial"/>
        </w:rPr>
      </w:pPr>
      <w:r w:rsidRPr="006915FD">
        <w:rPr>
          <w:rFonts w:cs="Arial"/>
        </w:rPr>
        <w:t xml:space="preserve">The </w:t>
      </w:r>
      <w:r w:rsidR="0088406C">
        <w:rPr>
          <w:rFonts w:cs="Arial"/>
        </w:rPr>
        <w:t xml:space="preserve">Council’s </w:t>
      </w:r>
      <w:r w:rsidRPr="006915FD">
        <w:rPr>
          <w:rFonts w:cs="Arial"/>
        </w:rPr>
        <w:t xml:space="preserve">Corporate Affairs Lead </w:t>
      </w:r>
      <w:r w:rsidR="00DC7F39">
        <w:rPr>
          <w:rFonts w:cs="Arial"/>
        </w:rPr>
        <w:t xml:space="preserve">is </w:t>
      </w:r>
      <w:r w:rsidRPr="006915FD">
        <w:rPr>
          <w:rFonts w:cs="Arial"/>
        </w:rPr>
        <w:t>review</w:t>
      </w:r>
      <w:r w:rsidR="00DC7F39">
        <w:rPr>
          <w:rFonts w:cs="Arial"/>
        </w:rPr>
        <w:t>ing</w:t>
      </w:r>
      <w:r w:rsidRPr="006915FD">
        <w:rPr>
          <w:rFonts w:cs="Arial"/>
        </w:rPr>
        <w:t xml:space="preserve"> criticality as part of the Corporate Business Continuity Plan review.  No changes are </w:t>
      </w:r>
      <w:r w:rsidR="005910AD">
        <w:rPr>
          <w:rFonts w:cs="Arial"/>
        </w:rPr>
        <w:t xml:space="preserve">currently </w:t>
      </w:r>
      <w:r w:rsidRPr="006915FD">
        <w:rPr>
          <w:rFonts w:cs="Arial"/>
        </w:rPr>
        <w:t>proposed to the list of Category 1, 2 and 3 critical services agreed by the Council’s Corporate Management Team (CMT) in 2014</w:t>
      </w:r>
      <w:r w:rsidR="006F39D1">
        <w:rPr>
          <w:rFonts w:cs="Arial"/>
        </w:rPr>
        <w:t xml:space="preserve"> (shown at Appendix 1)</w:t>
      </w:r>
      <w:r w:rsidRPr="006915FD">
        <w:rPr>
          <w:rFonts w:cs="Arial"/>
        </w:rPr>
        <w:t xml:space="preserve">.  The Council’s services have not changed in the intervening period nor has the impact on the factors that determine the level of criticality e.g. impact on life, reputation.  More information is needed on the resources required, both staff and equipment, and this is being considered in connection with workplace availability and IT systems requirements and accessibility.   </w:t>
      </w:r>
    </w:p>
    <w:p w:rsidR="006915FD" w:rsidRPr="006915FD" w:rsidRDefault="006915FD" w:rsidP="009C12C9">
      <w:pPr>
        <w:ind w:left="426"/>
        <w:rPr>
          <w:rFonts w:cs="Arial"/>
        </w:rPr>
      </w:pPr>
    </w:p>
    <w:p w:rsidR="006915FD" w:rsidRPr="006915FD" w:rsidRDefault="006915FD" w:rsidP="006915FD">
      <w:pPr>
        <w:numPr>
          <w:ilvl w:val="0"/>
          <w:numId w:val="1"/>
        </w:numPr>
        <w:ind w:left="426" w:hanging="426"/>
        <w:rPr>
          <w:rFonts w:cs="Arial"/>
        </w:rPr>
      </w:pPr>
      <w:r w:rsidRPr="006915FD">
        <w:rPr>
          <w:rFonts w:cs="Arial"/>
        </w:rPr>
        <w:t xml:space="preserve">Service Heads are being asked to comment on the corporate categorization of critical services and to review the resources they </w:t>
      </w:r>
      <w:r w:rsidR="0088406C">
        <w:rPr>
          <w:rFonts w:cs="Arial"/>
        </w:rPr>
        <w:t xml:space="preserve">would </w:t>
      </w:r>
      <w:r w:rsidRPr="006915FD">
        <w:rPr>
          <w:rFonts w:cs="Arial"/>
        </w:rPr>
        <w:t xml:space="preserve">require at the recovery location in the short term.  CMT will be asked to comment on/confirm the categorization and resource requirements early in the New Year after which Service Heads will be </w:t>
      </w:r>
      <w:r w:rsidR="00DC7F39">
        <w:rPr>
          <w:rFonts w:cs="Arial"/>
        </w:rPr>
        <w:t xml:space="preserve">asked </w:t>
      </w:r>
      <w:r w:rsidRPr="006915FD">
        <w:rPr>
          <w:rFonts w:cs="Arial"/>
        </w:rPr>
        <w:t>to update the</w:t>
      </w:r>
      <w:r w:rsidR="00DC7F39">
        <w:rPr>
          <w:rFonts w:cs="Arial"/>
        </w:rPr>
        <w:t>ir</w:t>
      </w:r>
      <w:r w:rsidRPr="006915FD">
        <w:rPr>
          <w:rFonts w:cs="Arial"/>
        </w:rPr>
        <w:t xml:space="preserve"> BCPs to reflect </w:t>
      </w:r>
      <w:r w:rsidR="00DC7F39">
        <w:rPr>
          <w:rFonts w:cs="Arial"/>
        </w:rPr>
        <w:t xml:space="preserve">any changes to </w:t>
      </w:r>
      <w:r w:rsidRPr="006915FD">
        <w:rPr>
          <w:rFonts w:cs="Arial"/>
        </w:rPr>
        <w:t xml:space="preserve">the categorization </w:t>
      </w:r>
      <w:r w:rsidR="00DC7F39">
        <w:rPr>
          <w:rFonts w:cs="Arial"/>
        </w:rPr>
        <w:t>or</w:t>
      </w:r>
      <w:r w:rsidRPr="006915FD">
        <w:rPr>
          <w:rFonts w:cs="Arial"/>
        </w:rPr>
        <w:t xml:space="preserve"> resource requirements.</w:t>
      </w:r>
    </w:p>
    <w:p w:rsidR="006915FD" w:rsidRPr="006915FD" w:rsidRDefault="006915FD" w:rsidP="009C12C9">
      <w:pPr>
        <w:ind w:left="426"/>
        <w:rPr>
          <w:rFonts w:cs="Arial"/>
        </w:rPr>
      </w:pPr>
    </w:p>
    <w:p w:rsidR="006915FD" w:rsidRPr="009C12C9" w:rsidRDefault="009C12C9" w:rsidP="009C12C9">
      <w:pPr>
        <w:ind w:left="426"/>
        <w:rPr>
          <w:rFonts w:cs="Arial"/>
          <w:u w:val="single"/>
        </w:rPr>
      </w:pPr>
      <w:r w:rsidRPr="009C12C9">
        <w:rPr>
          <w:rFonts w:cs="Arial"/>
          <w:u w:val="single"/>
        </w:rPr>
        <w:t xml:space="preserve">Finding 2 – the </w:t>
      </w:r>
      <w:r w:rsidR="006915FD" w:rsidRPr="009C12C9">
        <w:rPr>
          <w:rFonts w:cs="Arial"/>
          <w:u w:val="single"/>
        </w:rPr>
        <w:t>Business Continuity Plans for the Council’s services were found to be incomplete or missing.</w:t>
      </w:r>
    </w:p>
    <w:p w:rsidR="006915FD" w:rsidRPr="006915FD" w:rsidRDefault="006915FD" w:rsidP="009C12C9">
      <w:pPr>
        <w:ind w:left="426"/>
        <w:rPr>
          <w:rFonts w:cs="Arial"/>
        </w:rPr>
      </w:pPr>
    </w:p>
    <w:p w:rsidR="006915FD" w:rsidRPr="006915FD" w:rsidRDefault="006915FD" w:rsidP="006915FD">
      <w:pPr>
        <w:numPr>
          <w:ilvl w:val="0"/>
          <w:numId w:val="1"/>
        </w:numPr>
        <w:ind w:left="426" w:hanging="426"/>
        <w:rPr>
          <w:rFonts w:cs="Arial"/>
        </w:rPr>
      </w:pPr>
      <w:r w:rsidRPr="006915FD">
        <w:rPr>
          <w:rFonts w:cs="Arial"/>
        </w:rPr>
        <w:t>All of the Council’s service area BCPs have been reviewed and revised following a review by Zurich, which included a workshop session with Service Heads on 23</w:t>
      </w:r>
      <w:r w:rsidRPr="006915FD">
        <w:rPr>
          <w:rFonts w:cs="Arial"/>
          <w:vertAlign w:val="superscript"/>
        </w:rPr>
        <w:t>rd</w:t>
      </w:r>
      <w:r w:rsidRPr="006915FD">
        <w:rPr>
          <w:rFonts w:cs="Arial"/>
        </w:rPr>
        <w:t xml:space="preserve"> May 2017).  The plans now reflect the current Council structure and internal and external contact details have been updated.  </w:t>
      </w:r>
      <w:r w:rsidR="00DC7F39">
        <w:rPr>
          <w:rFonts w:cs="Arial"/>
        </w:rPr>
        <w:t>The Plans will be kept under review and f</w:t>
      </w:r>
      <w:r w:rsidRPr="006915FD">
        <w:rPr>
          <w:rFonts w:cs="Arial"/>
        </w:rPr>
        <w:t>urther changes will be made</w:t>
      </w:r>
      <w:r w:rsidR="00BD08D7">
        <w:rPr>
          <w:rFonts w:cs="Arial"/>
        </w:rPr>
        <w:t xml:space="preserve"> </w:t>
      </w:r>
      <w:r w:rsidR="00DC7F39">
        <w:rPr>
          <w:rFonts w:cs="Arial"/>
        </w:rPr>
        <w:t>as necessary – see para 7 above</w:t>
      </w:r>
      <w:proofErr w:type="gramStart"/>
      <w:r w:rsidR="00DC7F39">
        <w:rPr>
          <w:rFonts w:cs="Arial"/>
        </w:rPr>
        <w:t>.</w:t>
      </w:r>
      <w:r w:rsidR="009C12C9">
        <w:rPr>
          <w:rFonts w:cs="Arial"/>
        </w:rPr>
        <w:t>.</w:t>
      </w:r>
      <w:proofErr w:type="gramEnd"/>
    </w:p>
    <w:p w:rsidR="006915FD" w:rsidRPr="006915FD" w:rsidRDefault="006915FD" w:rsidP="009C12C9">
      <w:pPr>
        <w:ind w:left="426"/>
        <w:rPr>
          <w:rFonts w:cs="Arial"/>
        </w:rPr>
      </w:pPr>
    </w:p>
    <w:p w:rsidR="006915FD" w:rsidRPr="009C12C9" w:rsidRDefault="009C12C9" w:rsidP="009C12C9">
      <w:pPr>
        <w:ind w:left="426"/>
        <w:rPr>
          <w:rFonts w:cs="Arial"/>
          <w:u w:val="single"/>
        </w:rPr>
      </w:pPr>
      <w:r w:rsidRPr="009C12C9">
        <w:rPr>
          <w:rFonts w:cs="Arial"/>
          <w:u w:val="single"/>
        </w:rPr>
        <w:t xml:space="preserve">Finding </w:t>
      </w:r>
      <w:r w:rsidR="006915FD" w:rsidRPr="009C12C9">
        <w:rPr>
          <w:rFonts w:cs="Arial"/>
          <w:u w:val="single"/>
        </w:rPr>
        <w:t>3</w:t>
      </w:r>
      <w:r w:rsidRPr="009C12C9">
        <w:rPr>
          <w:rFonts w:cs="Arial"/>
          <w:u w:val="single"/>
        </w:rPr>
        <w:t xml:space="preserve"> – there </w:t>
      </w:r>
      <w:r w:rsidR="006915FD" w:rsidRPr="009C12C9">
        <w:rPr>
          <w:rFonts w:cs="Arial"/>
          <w:u w:val="single"/>
        </w:rPr>
        <w:t>is not an effective process to manage the Council’s continuity planning to provide central oversight.</w:t>
      </w:r>
    </w:p>
    <w:p w:rsidR="006915FD" w:rsidRPr="006915FD" w:rsidRDefault="006915FD" w:rsidP="009C12C9">
      <w:pPr>
        <w:ind w:left="426"/>
        <w:rPr>
          <w:rFonts w:cs="Arial"/>
        </w:rPr>
      </w:pPr>
    </w:p>
    <w:p w:rsidR="006915FD" w:rsidRPr="006915FD" w:rsidRDefault="006915FD" w:rsidP="006915FD">
      <w:pPr>
        <w:numPr>
          <w:ilvl w:val="0"/>
          <w:numId w:val="1"/>
        </w:numPr>
        <w:ind w:left="426" w:hanging="426"/>
        <w:rPr>
          <w:rFonts w:cs="Arial"/>
        </w:rPr>
      </w:pPr>
      <w:r w:rsidRPr="006915FD">
        <w:rPr>
          <w:rFonts w:cs="Arial"/>
        </w:rPr>
        <w:t>The Financial Accounting Manager is responsible for ensuring that a sound business continuity framework is in place, including oversight of service area BCP</w:t>
      </w:r>
      <w:r w:rsidR="009C12C9">
        <w:rPr>
          <w:rFonts w:cs="Arial"/>
        </w:rPr>
        <w:t>s</w:t>
      </w:r>
      <w:r w:rsidRPr="006915FD">
        <w:rPr>
          <w:rFonts w:cs="Arial"/>
        </w:rPr>
        <w:t xml:space="preserve">, </w:t>
      </w:r>
      <w:proofErr w:type="gramStart"/>
      <w:r w:rsidRPr="006915FD">
        <w:rPr>
          <w:rFonts w:cs="Arial"/>
        </w:rPr>
        <w:t xml:space="preserve">and </w:t>
      </w:r>
      <w:r w:rsidR="009C12C9">
        <w:rPr>
          <w:rFonts w:cs="Arial"/>
        </w:rPr>
        <w:t xml:space="preserve"> </w:t>
      </w:r>
      <w:r w:rsidRPr="006915FD">
        <w:rPr>
          <w:rFonts w:cs="Arial"/>
        </w:rPr>
        <w:t>regular</w:t>
      </w:r>
      <w:proofErr w:type="gramEnd"/>
      <w:r w:rsidR="00DC7F39">
        <w:rPr>
          <w:rFonts w:cs="Arial"/>
        </w:rPr>
        <w:t xml:space="preserve"> </w:t>
      </w:r>
      <w:r w:rsidRPr="006915FD">
        <w:rPr>
          <w:rFonts w:cs="Arial"/>
        </w:rPr>
        <w:t>test</w:t>
      </w:r>
      <w:r w:rsidR="009C12C9">
        <w:rPr>
          <w:rFonts w:cs="Arial"/>
        </w:rPr>
        <w:t>ing</w:t>
      </w:r>
      <w:r w:rsidRPr="006915FD">
        <w:rPr>
          <w:rFonts w:cs="Arial"/>
        </w:rPr>
        <w:t xml:space="preserve">.  </w:t>
      </w:r>
      <w:r w:rsidR="00DC7F39">
        <w:rPr>
          <w:rFonts w:cs="Arial"/>
        </w:rPr>
        <w:t xml:space="preserve">The Business Continuity Group </w:t>
      </w:r>
      <w:r w:rsidR="00C46D75">
        <w:rPr>
          <w:rFonts w:cs="Arial"/>
        </w:rPr>
        <w:t xml:space="preserve">and ongoing support from Zurich </w:t>
      </w:r>
      <w:r w:rsidR="00DC7F39">
        <w:rPr>
          <w:rFonts w:cs="Arial"/>
        </w:rPr>
        <w:t xml:space="preserve">will be used to facilitate this.  </w:t>
      </w:r>
      <w:r w:rsidRPr="006915FD">
        <w:rPr>
          <w:rFonts w:cs="Arial"/>
        </w:rPr>
        <w:t>Service Heads are responsible for their service area’s BCP.</w:t>
      </w:r>
    </w:p>
    <w:p w:rsidR="006915FD" w:rsidRDefault="006915FD" w:rsidP="009C12C9">
      <w:pPr>
        <w:ind w:left="426"/>
        <w:rPr>
          <w:rFonts w:cs="Arial"/>
        </w:rPr>
      </w:pPr>
    </w:p>
    <w:p w:rsidR="004C08CE" w:rsidRPr="006915FD" w:rsidRDefault="004C08CE" w:rsidP="009C12C9">
      <w:pPr>
        <w:ind w:left="426"/>
        <w:rPr>
          <w:rFonts w:cs="Arial"/>
        </w:rPr>
      </w:pPr>
      <w:bookmarkStart w:id="0" w:name="_GoBack"/>
      <w:bookmarkEnd w:id="0"/>
    </w:p>
    <w:p w:rsidR="006915FD" w:rsidRPr="009C12C9" w:rsidRDefault="009C12C9" w:rsidP="009C12C9">
      <w:pPr>
        <w:ind w:left="426"/>
        <w:rPr>
          <w:rFonts w:cs="Arial"/>
          <w:u w:val="single"/>
        </w:rPr>
      </w:pPr>
      <w:r w:rsidRPr="009C12C9">
        <w:rPr>
          <w:rFonts w:cs="Arial"/>
          <w:u w:val="single"/>
        </w:rPr>
        <w:t xml:space="preserve">Finding </w:t>
      </w:r>
      <w:r w:rsidR="006915FD" w:rsidRPr="009C12C9">
        <w:rPr>
          <w:rFonts w:cs="Arial"/>
          <w:u w:val="single"/>
        </w:rPr>
        <w:t>4</w:t>
      </w:r>
      <w:r w:rsidRPr="009C12C9">
        <w:rPr>
          <w:rFonts w:cs="Arial"/>
          <w:u w:val="single"/>
        </w:rPr>
        <w:t xml:space="preserve"> – there </w:t>
      </w:r>
      <w:r w:rsidR="006915FD" w:rsidRPr="009C12C9">
        <w:rPr>
          <w:rFonts w:cs="Arial"/>
          <w:u w:val="single"/>
        </w:rPr>
        <w:t>is not a defined IT Disaster Recovery Plan in place</w:t>
      </w:r>
    </w:p>
    <w:p w:rsidR="006915FD" w:rsidRPr="006915FD" w:rsidRDefault="006915FD" w:rsidP="009C12C9">
      <w:pPr>
        <w:ind w:left="426"/>
        <w:rPr>
          <w:rFonts w:cs="Arial"/>
        </w:rPr>
      </w:pPr>
    </w:p>
    <w:p w:rsidR="006915FD" w:rsidRPr="006915FD" w:rsidRDefault="006915FD" w:rsidP="006915FD">
      <w:pPr>
        <w:numPr>
          <w:ilvl w:val="0"/>
          <w:numId w:val="1"/>
        </w:numPr>
        <w:ind w:left="426" w:hanging="426"/>
        <w:rPr>
          <w:rFonts w:cs="Arial"/>
        </w:rPr>
      </w:pPr>
      <w:r w:rsidRPr="006915FD">
        <w:rPr>
          <w:rFonts w:cs="Arial"/>
        </w:rPr>
        <w:t xml:space="preserve">SCC, the Council’s infrastructure provider, has a Data Centre Continuity Plan to ensure it is prepared to respond to continuity events impacting operations at the Data Centre.  The </w:t>
      </w:r>
      <w:r w:rsidR="00DC7F39">
        <w:rPr>
          <w:rFonts w:cs="Arial"/>
        </w:rPr>
        <w:t>P</w:t>
      </w:r>
      <w:r w:rsidRPr="006915FD">
        <w:rPr>
          <w:rFonts w:cs="Arial"/>
        </w:rPr>
        <w:t xml:space="preserve">lan was reviewed and updated in April 2017.  In addition, Business Improvement’s BCP has a section that relates to ICT business continuity processes. </w:t>
      </w:r>
      <w:r w:rsidR="009C12C9">
        <w:rPr>
          <w:rFonts w:cs="Arial"/>
        </w:rPr>
        <w:t xml:space="preserve"> A review of the </w:t>
      </w:r>
      <w:r w:rsidR="009C12C9" w:rsidRPr="009C12C9">
        <w:rPr>
          <w:rFonts w:cs="Arial"/>
        </w:rPr>
        <w:t>IT Disaster Recovery Plan</w:t>
      </w:r>
      <w:r w:rsidR="009C12C9">
        <w:rPr>
          <w:rFonts w:cs="Arial"/>
        </w:rPr>
        <w:t xml:space="preserve"> has recently been undertaken by the Council’s ICT department in conjunction with SCC.</w:t>
      </w:r>
    </w:p>
    <w:p w:rsidR="006915FD" w:rsidRPr="006915FD" w:rsidRDefault="006915FD" w:rsidP="009C12C9">
      <w:pPr>
        <w:ind w:left="426"/>
        <w:rPr>
          <w:rFonts w:cs="Arial"/>
        </w:rPr>
      </w:pPr>
    </w:p>
    <w:p w:rsidR="006915FD" w:rsidRPr="009C12C9" w:rsidRDefault="00F7108D" w:rsidP="009C12C9">
      <w:pPr>
        <w:ind w:left="426"/>
        <w:rPr>
          <w:rFonts w:cs="Arial"/>
          <w:u w:val="single"/>
        </w:rPr>
      </w:pPr>
      <w:r>
        <w:rPr>
          <w:rFonts w:cs="Arial"/>
          <w:u w:val="single"/>
        </w:rPr>
        <w:t xml:space="preserve">Finding </w:t>
      </w:r>
      <w:r w:rsidR="006915FD" w:rsidRPr="009C12C9">
        <w:rPr>
          <w:rFonts w:cs="Arial"/>
          <w:u w:val="single"/>
        </w:rPr>
        <w:t>5</w:t>
      </w:r>
      <w:r>
        <w:rPr>
          <w:rFonts w:cs="Arial"/>
          <w:u w:val="single"/>
        </w:rPr>
        <w:t xml:space="preserve"> – the </w:t>
      </w:r>
      <w:r w:rsidR="006915FD" w:rsidRPr="009C12C9">
        <w:rPr>
          <w:rFonts w:cs="Arial"/>
          <w:u w:val="single"/>
        </w:rPr>
        <w:t>Council’s business continuity and disaster recovery plans are not tested on a routine basis.</w:t>
      </w:r>
    </w:p>
    <w:p w:rsidR="006915FD" w:rsidRPr="006915FD" w:rsidRDefault="006915FD" w:rsidP="009C12C9">
      <w:pPr>
        <w:ind w:left="426"/>
        <w:rPr>
          <w:rFonts w:cs="Arial"/>
        </w:rPr>
      </w:pPr>
    </w:p>
    <w:p w:rsidR="006915FD" w:rsidRPr="006915FD" w:rsidRDefault="006915FD" w:rsidP="006915FD">
      <w:pPr>
        <w:numPr>
          <w:ilvl w:val="0"/>
          <w:numId w:val="1"/>
        </w:numPr>
        <w:ind w:left="426" w:hanging="426"/>
        <w:rPr>
          <w:rFonts w:cs="Arial"/>
        </w:rPr>
      </w:pPr>
      <w:r w:rsidRPr="006915FD">
        <w:rPr>
          <w:rFonts w:cs="Arial"/>
        </w:rPr>
        <w:t>Two IT disaster recovery tests have taken place in 2017 with SCC.  The first, in March, successfully tested the recovery process to obtain confidence that requisite procedures were in place to achieve recovery.  In October, there was a full test of the entire key infrastructure and applications environment.  As a result, SCC’s operational manual has been updated to include an agreed schedule for loading infrastructure and applications servers.  This has also been incorporated in</w:t>
      </w:r>
      <w:r w:rsidR="00346F4A">
        <w:rPr>
          <w:rFonts w:cs="Arial"/>
        </w:rPr>
        <w:t>to</w:t>
      </w:r>
      <w:r w:rsidRPr="006915FD">
        <w:rPr>
          <w:rFonts w:cs="Arial"/>
        </w:rPr>
        <w:t xml:space="preserve"> the corporate disaster recovery plan.</w:t>
      </w:r>
    </w:p>
    <w:p w:rsidR="006915FD" w:rsidRPr="006915FD" w:rsidRDefault="006915FD" w:rsidP="009C12C9">
      <w:pPr>
        <w:ind w:left="426"/>
        <w:rPr>
          <w:rFonts w:cs="Arial"/>
        </w:rPr>
      </w:pPr>
    </w:p>
    <w:p w:rsidR="006915FD" w:rsidRPr="006915FD" w:rsidRDefault="006915FD" w:rsidP="006915FD">
      <w:pPr>
        <w:numPr>
          <w:ilvl w:val="0"/>
          <w:numId w:val="1"/>
        </w:numPr>
        <w:ind w:left="426" w:hanging="426"/>
        <w:rPr>
          <w:rFonts w:cs="Arial"/>
        </w:rPr>
      </w:pPr>
      <w:r w:rsidRPr="006915FD">
        <w:rPr>
          <w:rFonts w:cs="Arial"/>
        </w:rPr>
        <w:t>The Council’s Corporate BCP and Service Area BCPs were tested by Zurich on 18</w:t>
      </w:r>
      <w:r w:rsidRPr="006915FD">
        <w:rPr>
          <w:rFonts w:cs="Arial"/>
          <w:vertAlign w:val="superscript"/>
        </w:rPr>
        <w:t>th</w:t>
      </w:r>
      <w:r w:rsidRPr="006915FD">
        <w:rPr>
          <w:rFonts w:cs="Arial"/>
        </w:rPr>
        <w:t xml:space="preserve"> October 2017.  </w:t>
      </w:r>
      <w:r w:rsidR="00C46D75">
        <w:rPr>
          <w:rFonts w:cs="Arial"/>
        </w:rPr>
        <w:t xml:space="preserve">Key learning points which are or have subsequently been addressed were </w:t>
      </w:r>
      <w:r w:rsidR="00346F4A">
        <w:rPr>
          <w:rFonts w:cs="Arial"/>
        </w:rPr>
        <w:t>as follows</w:t>
      </w:r>
      <w:r w:rsidRPr="006915FD">
        <w:rPr>
          <w:rFonts w:cs="Arial"/>
        </w:rPr>
        <w:t>:</w:t>
      </w:r>
    </w:p>
    <w:p w:rsidR="006915FD" w:rsidRPr="00F7108D" w:rsidRDefault="006915FD" w:rsidP="00BD08D7">
      <w:pPr>
        <w:pStyle w:val="ListParagraph"/>
        <w:numPr>
          <w:ilvl w:val="0"/>
          <w:numId w:val="44"/>
        </w:numPr>
        <w:rPr>
          <w:rFonts w:cs="Arial"/>
        </w:rPr>
      </w:pPr>
      <w:r w:rsidRPr="00F7108D">
        <w:rPr>
          <w:rFonts w:cs="Arial"/>
        </w:rPr>
        <w:t xml:space="preserve">Review and </w:t>
      </w:r>
      <w:r w:rsidR="00346F4A">
        <w:rPr>
          <w:rFonts w:cs="Arial"/>
        </w:rPr>
        <w:t xml:space="preserve">raise </w:t>
      </w:r>
      <w:r w:rsidRPr="00F7108D">
        <w:rPr>
          <w:rFonts w:cs="Arial"/>
        </w:rPr>
        <w:t>awareness of Corporate BCP</w:t>
      </w:r>
      <w:r w:rsidR="00BD08D7">
        <w:rPr>
          <w:rFonts w:cs="Arial"/>
        </w:rPr>
        <w:t xml:space="preserve">; </w:t>
      </w:r>
      <w:proofErr w:type="gramStart"/>
      <w:r w:rsidR="00BD08D7" w:rsidRPr="00BD08D7">
        <w:rPr>
          <w:rFonts w:cs="Arial"/>
        </w:rPr>
        <w:t>A</w:t>
      </w:r>
      <w:proofErr w:type="gramEnd"/>
      <w:r w:rsidR="00BD08D7" w:rsidRPr="00BD08D7">
        <w:rPr>
          <w:rFonts w:cs="Arial"/>
        </w:rPr>
        <w:t xml:space="preserve"> regular programme of testing will be put in place going forward</w:t>
      </w:r>
      <w:r w:rsidR="00BD08D7">
        <w:rPr>
          <w:rFonts w:cs="Arial"/>
        </w:rPr>
        <w:t>.</w:t>
      </w:r>
    </w:p>
    <w:p w:rsidR="006915FD" w:rsidRPr="00F7108D" w:rsidRDefault="006915FD" w:rsidP="00F7108D">
      <w:pPr>
        <w:pStyle w:val="ListParagraph"/>
        <w:numPr>
          <w:ilvl w:val="0"/>
          <w:numId w:val="44"/>
        </w:numPr>
        <w:rPr>
          <w:rFonts w:cs="Arial"/>
        </w:rPr>
      </w:pPr>
      <w:r w:rsidRPr="00F7108D">
        <w:rPr>
          <w:rFonts w:cs="Arial"/>
        </w:rPr>
        <w:t>A Business Impact Analysis of the Council’s critical activities</w:t>
      </w:r>
      <w:r w:rsidR="00346F4A">
        <w:rPr>
          <w:rFonts w:cs="Arial"/>
        </w:rPr>
        <w:t xml:space="preserve"> should be undertaken</w:t>
      </w:r>
      <w:r w:rsidRPr="00F7108D">
        <w:rPr>
          <w:rFonts w:cs="Arial"/>
        </w:rPr>
        <w:t xml:space="preserve">  </w:t>
      </w:r>
    </w:p>
    <w:p w:rsidR="006915FD" w:rsidRPr="00F7108D" w:rsidRDefault="006915FD" w:rsidP="00F7108D">
      <w:pPr>
        <w:pStyle w:val="ListParagraph"/>
        <w:numPr>
          <w:ilvl w:val="0"/>
          <w:numId w:val="45"/>
        </w:numPr>
        <w:rPr>
          <w:rFonts w:cs="Arial"/>
        </w:rPr>
      </w:pPr>
      <w:r w:rsidRPr="00F7108D">
        <w:rPr>
          <w:rFonts w:cs="Arial"/>
        </w:rPr>
        <w:t>Accessibility of business continuity plans</w:t>
      </w:r>
    </w:p>
    <w:p w:rsidR="006915FD" w:rsidRPr="006915FD" w:rsidRDefault="006915FD" w:rsidP="00F7108D">
      <w:pPr>
        <w:ind w:left="1146"/>
        <w:rPr>
          <w:rFonts w:cs="Arial"/>
        </w:rPr>
      </w:pPr>
      <w:r w:rsidRPr="006915FD">
        <w:rPr>
          <w:rFonts w:cs="Arial"/>
        </w:rPr>
        <w:t>Paper and electronic copies will be kept by key officers involved in the BCP process and at the remote location (Horspath Road).  A dedicated file will be set up on the M drive for key officers to access them</w:t>
      </w:r>
      <w:r w:rsidR="00F7108D">
        <w:rPr>
          <w:rFonts w:cs="Arial"/>
        </w:rPr>
        <w:t>.</w:t>
      </w:r>
    </w:p>
    <w:p w:rsidR="006915FD" w:rsidRPr="00BD08D7" w:rsidRDefault="00F7108D" w:rsidP="00BD08D7">
      <w:pPr>
        <w:pStyle w:val="ListParagraph"/>
        <w:numPr>
          <w:ilvl w:val="0"/>
          <w:numId w:val="45"/>
        </w:numPr>
        <w:rPr>
          <w:rFonts w:cs="Arial"/>
        </w:rPr>
      </w:pPr>
      <w:r w:rsidRPr="00BD08D7">
        <w:rPr>
          <w:rFonts w:cs="Arial"/>
        </w:rPr>
        <w:t>Loss of IT</w:t>
      </w:r>
      <w:r w:rsidR="00BD08D7" w:rsidRPr="00BD08D7">
        <w:rPr>
          <w:rFonts w:cs="Arial"/>
        </w:rPr>
        <w:t xml:space="preserve"> - </w:t>
      </w:r>
      <w:r w:rsidR="006915FD" w:rsidRPr="00BD08D7">
        <w:rPr>
          <w:rFonts w:cs="Arial"/>
        </w:rPr>
        <w:t>Staff guidance is being issued on the availability and use of laptops and mobile phones for homeworking in the event of BCPs being activated.  Guidance in respect of access to the Council’s systems via the Citrix program is to be circulated so that personal laptops can be used for Council work.  Priority for replacement laptops is to be given to staff undertaking critical services.</w:t>
      </w:r>
    </w:p>
    <w:p w:rsidR="006915FD" w:rsidRPr="00C46D75" w:rsidRDefault="006915FD" w:rsidP="00BD08D7">
      <w:pPr>
        <w:pStyle w:val="ListParagraph"/>
        <w:numPr>
          <w:ilvl w:val="0"/>
          <w:numId w:val="45"/>
        </w:numPr>
        <w:rPr>
          <w:rFonts w:cs="Arial"/>
        </w:rPr>
      </w:pPr>
      <w:proofErr w:type="gramStart"/>
      <w:r w:rsidRPr="00C46D75">
        <w:rPr>
          <w:rFonts w:cs="Arial"/>
        </w:rPr>
        <w:t>Support from Third Parties</w:t>
      </w:r>
      <w:r w:rsidR="00C46D75" w:rsidRPr="00C46D75">
        <w:rPr>
          <w:rFonts w:cs="Arial"/>
        </w:rPr>
        <w:t xml:space="preserve"> - </w:t>
      </w:r>
      <w:r w:rsidR="00BD08D7">
        <w:rPr>
          <w:rFonts w:cs="Arial"/>
        </w:rPr>
        <w:t>S</w:t>
      </w:r>
      <w:r w:rsidRPr="00C46D75">
        <w:rPr>
          <w:rFonts w:cs="Arial"/>
        </w:rPr>
        <w:t xml:space="preserve">ervice Heads </w:t>
      </w:r>
      <w:r w:rsidR="00C46D75">
        <w:rPr>
          <w:rFonts w:cs="Arial"/>
        </w:rPr>
        <w:t>were</w:t>
      </w:r>
      <w:proofErr w:type="gramEnd"/>
      <w:r w:rsidR="00C46D75">
        <w:rPr>
          <w:rFonts w:cs="Arial"/>
        </w:rPr>
        <w:t xml:space="preserve"> </w:t>
      </w:r>
      <w:r w:rsidRPr="00C46D75">
        <w:rPr>
          <w:rFonts w:cs="Arial"/>
        </w:rPr>
        <w:t>reminded that their BCP should consider how the service will interact with key suppliers and partners and how they might provide support during an incident.</w:t>
      </w:r>
    </w:p>
    <w:p w:rsidR="006915FD" w:rsidRPr="00F7108D" w:rsidRDefault="006915FD" w:rsidP="00F7108D">
      <w:pPr>
        <w:pStyle w:val="ListParagraph"/>
        <w:numPr>
          <w:ilvl w:val="0"/>
          <w:numId w:val="45"/>
        </w:numPr>
        <w:rPr>
          <w:rFonts w:cs="Arial"/>
        </w:rPr>
      </w:pPr>
      <w:r w:rsidRPr="00F7108D">
        <w:rPr>
          <w:rFonts w:cs="Arial"/>
        </w:rPr>
        <w:t>Ensuring there is no key pers</w:t>
      </w:r>
      <w:r w:rsidR="00F7108D">
        <w:rPr>
          <w:rFonts w:cs="Arial"/>
        </w:rPr>
        <w:t xml:space="preserve">on dependency for the Council’s </w:t>
      </w:r>
      <w:r w:rsidRPr="00F7108D">
        <w:rPr>
          <w:rFonts w:cs="Arial"/>
        </w:rPr>
        <w:t>media response</w:t>
      </w:r>
    </w:p>
    <w:p w:rsidR="006915FD" w:rsidRPr="00BD08D7" w:rsidRDefault="006915FD" w:rsidP="00BD08D7">
      <w:pPr>
        <w:pStyle w:val="ListParagraph"/>
        <w:numPr>
          <w:ilvl w:val="0"/>
          <w:numId w:val="46"/>
        </w:numPr>
        <w:rPr>
          <w:rFonts w:cs="Arial"/>
        </w:rPr>
      </w:pPr>
      <w:r w:rsidRPr="00BD08D7">
        <w:rPr>
          <w:rFonts w:cs="Arial"/>
        </w:rPr>
        <w:t>Ability to write cheques</w:t>
      </w:r>
      <w:r w:rsidR="00BD08D7" w:rsidRPr="00BD08D7">
        <w:rPr>
          <w:rFonts w:cs="Arial"/>
        </w:rPr>
        <w:t xml:space="preserve"> - </w:t>
      </w:r>
      <w:r w:rsidRPr="00BD08D7">
        <w:rPr>
          <w:rFonts w:cs="Arial"/>
        </w:rPr>
        <w:t>The Head of Financial Services is examining how this can be covered if the usual process cannot be followed.</w:t>
      </w:r>
    </w:p>
    <w:p w:rsidR="00C46D75" w:rsidRPr="006915FD" w:rsidRDefault="00C46D75" w:rsidP="00BD08D7">
      <w:pPr>
        <w:rPr>
          <w:rFonts w:cs="Arial"/>
        </w:rPr>
      </w:pPr>
      <w:r>
        <w:rPr>
          <w:rFonts w:cs="Arial"/>
        </w:rPr>
        <w:t>.</w:t>
      </w:r>
    </w:p>
    <w:p w:rsidR="006915FD" w:rsidRPr="006915FD" w:rsidRDefault="006915FD" w:rsidP="00F7108D">
      <w:pPr>
        <w:ind w:left="426"/>
        <w:rPr>
          <w:rFonts w:cs="Arial"/>
        </w:rPr>
      </w:pPr>
    </w:p>
    <w:p w:rsidR="006915FD" w:rsidRPr="00F7108D" w:rsidRDefault="00F7108D" w:rsidP="00F7108D">
      <w:pPr>
        <w:ind w:left="426"/>
        <w:rPr>
          <w:rFonts w:cs="Arial"/>
          <w:u w:val="single"/>
        </w:rPr>
      </w:pPr>
      <w:r w:rsidRPr="00F7108D">
        <w:rPr>
          <w:rFonts w:cs="Arial"/>
          <w:u w:val="single"/>
        </w:rPr>
        <w:t xml:space="preserve">Finding </w:t>
      </w:r>
      <w:r w:rsidR="006915FD" w:rsidRPr="00F7108D">
        <w:rPr>
          <w:rFonts w:cs="Arial"/>
          <w:u w:val="single"/>
        </w:rPr>
        <w:t>6</w:t>
      </w:r>
      <w:r w:rsidRPr="00F7108D">
        <w:rPr>
          <w:rFonts w:cs="Arial"/>
          <w:u w:val="single"/>
        </w:rPr>
        <w:t xml:space="preserve"> – the </w:t>
      </w:r>
      <w:r w:rsidR="006915FD" w:rsidRPr="00F7108D">
        <w:rPr>
          <w:rFonts w:cs="Arial"/>
          <w:u w:val="single"/>
        </w:rPr>
        <w:t>viability of the Council’s alternative site at Horspath Road has not been assessed.</w:t>
      </w:r>
    </w:p>
    <w:p w:rsidR="006915FD" w:rsidRPr="006915FD" w:rsidRDefault="006915FD" w:rsidP="00F7108D">
      <w:pPr>
        <w:ind w:left="426"/>
        <w:rPr>
          <w:rFonts w:cs="Arial"/>
        </w:rPr>
      </w:pPr>
    </w:p>
    <w:p w:rsidR="006915FD" w:rsidRPr="006915FD" w:rsidRDefault="006915FD" w:rsidP="006915FD">
      <w:pPr>
        <w:numPr>
          <w:ilvl w:val="0"/>
          <w:numId w:val="1"/>
        </w:numPr>
        <w:ind w:left="426" w:hanging="426"/>
        <w:rPr>
          <w:rFonts w:cs="Arial"/>
        </w:rPr>
      </w:pPr>
      <w:r w:rsidRPr="006915FD">
        <w:rPr>
          <w:rFonts w:cs="Arial"/>
        </w:rPr>
        <w:t xml:space="preserve">Arrangements are in place for the Customer Contact Centre to move to Horspath Road, if required, and are included as part of Business Improvement’s BCP.  </w:t>
      </w:r>
    </w:p>
    <w:p w:rsidR="006915FD" w:rsidRPr="006915FD" w:rsidRDefault="006915FD" w:rsidP="00F7108D">
      <w:pPr>
        <w:ind w:left="426"/>
        <w:rPr>
          <w:rFonts w:cs="Arial"/>
        </w:rPr>
      </w:pPr>
    </w:p>
    <w:p w:rsidR="006915FD" w:rsidRPr="006915FD" w:rsidRDefault="006915FD" w:rsidP="006915FD">
      <w:pPr>
        <w:numPr>
          <w:ilvl w:val="0"/>
          <w:numId w:val="1"/>
        </w:numPr>
        <w:ind w:left="426" w:hanging="426"/>
        <w:rPr>
          <w:rFonts w:cs="Arial"/>
        </w:rPr>
      </w:pPr>
      <w:r w:rsidRPr="006915FD">
        <w:rPr>
          <w:rFonts w:cs="Arial"/>
        </w:rPr>
        <w:t xml:space="preserve">The total number of work spaces available at Horspath Road, together with associated infrastructure will be checked by the Corporate Affairs Lead early in the New Year.  A draft Accommodation Strategy has been produced.  </w:t>
      </w:r>
      <w:r w:rsidR="00BD08D7">
        <w:rPr>
          <w:rFonts w:cs="Arial"/>
        </w:rPr>
        <w:t xml:space="preserve">The review and strategy will be mindful of the availability and use of home working.  </w:t>
      </w:r>
      <w:r w:rsidRPr="006915FD">
        <w:rPr>
          <w:rFonts w:cs="Arial"/>
        </w:rPr>
        <w:t>Other accommodation options are identified in the strategy if there is medium and longer term disruption.  Service areas’ requirements will be considered as part of the process of determining the most suitable location(s)</w:t>
      </w:r>
      <w:r w:rsidR="00F7108D">
        <w:rPr>
          <w:rFonts w:cs="Arial"/>
        </w:rPr>
        <w:t>.</w:t>
      </w:r>
    </w:p>
    <w:p w:rsidR="006915FD" w:rsidRPr="006915FD" w:rsidRDefault="006915FD" w:rsidP="00F7108D">
      <w:pPr>
        <w:ind w:left="426"/>
        <w:rPr>
          <w:rFonts w:cs="Arial"/>
        </w:rPr>
      </w:pPr>
    </w:p>
    <w:p w:rsidR="006915FD" w:rsidRPr="00F7108D" w:rsidRDefault="00F7108D" w:rsidP="00F7108D">
      <w:pPr>
        <w:ind w:left="426"/>
        <w:rPr>
          <w:rFonts w:cs="Arial"/>
          <w:u w:val="single"/>
        </w:rPr>
      </w:pPr>
      <w:r w:rsidRPr="00F7108D">
        <w:rPr>
          <w:rFonts w:cs="Arial"/>
          <w:u w:val="single"/>
        </w:rPr>
        <w:t xml:space="preserve">Finding 7 – members </w:t>
      </w:r>
      <w:r w:rsidR="006915FD" w:rsidRPr="00F7108D">
        <w:rPr>
          <w:rFonts w:cs="Arial"/>
          <w:u w:val="single"/>
        </w:rPr>
        <w:t>of staff with responsibility for continuity planning are not p</w:t>
      </w:r>
      <w:r>
        <w:rPr>
          <w:rFonts w:cs="Arial"/>
          <w:u w:val="single"/>
        </w:rPr>
        <w:t>rovided with adequate training.</w:t>
      </w:r>
    </w:p>
    <w:p w:rsidR="006915FD" w:rsidRPr="006915FD" w:rsidRDefault="006915FD" w:rsidP="00F7108D">
      <w:pPr>
        <w:ind w:left="426"/>
        <w:rPr>
          <w:rFonts w:cs="Arial"/>
        </w:rPr>
      </w:pPr>
    </w:p>
    <w:p w:rsidR="00A32A7B" w:rsidRDefault="006915FD" w:rsidP="006915FD">
      <w:pPr>
        <w:numPr>
          <w:ilvl w:val="0"/>
          <w:numId w:val="1"/>
        </w:numPr>
        <w:ind w:left="426" w:hanging="426"/>
        <w:rPr>
          <w:rFonts w:cs="Arial"/>
        </w:rPr>
      </w:pPr>
      <w:r w:rsidRPr="006915FD">
        <w:rPr>
          <w:rFonts w:cs="Arial"/>
        </w:rPr>
        <w:t>Service Heads attended the workshop run by Zurich on 23</w:t>
      </w:r>
      <w:r w:rsidRPr="006915FD">
        <w:rPr>
          <w:rFonts w:cs="Arial"/>
          <w:vertAlign w:val="superscript"/>
        </w:rPr>
        <w:t>rd</w:t>
      </w:r>
      <w:r w:rsidRPr="006915FD">
        <w:rPr>
          <w:rFonts w:cs="Arial"/>
        </w:rPr>
        <w:t xml:space="preserve"> May 2017. This was followed by a facilitated session on critical activities on 13</w:t>
      </w:r>
      <w:r w:rsidRPr="006915FD">
        <w:rPr>
          <w:rFonts w:cs="Arial"/>
          <w:vertAlign w:val="superscript"/>
        </w:rPr>
        <w:t>th</w:t>
      </w:r>
      <w:r w:rsidRPr="006915FD">
        <w:rPr>
          <w:rFonts w:cs="Arial"/>
        </w:rPr>
        <w:t xml:space="preserve"> July 2017 and the test that took place on 18</w:t>
      </w:r>
      <w:r w:rsidRPr="006915FD">
        <w:rPr>
          <w:rFonts w:cs="Arial"/>
          <w:vertAlign w:val="superscript"/>
        </w:rPr>
        <w:t>th</w:t>
      </w:r>
      <w:r w:rsidRPr="006915FD">
        <w:rPr>
          <w:rFonts w:cs="Arial"/>
        </w:rPr>
        <w:t xml:space="preserve"> October 2017.</w:t>
      </w:r>
      <w:r w:rsidR="00346F4A">
        <w:rPr>
          <w:rFonts w:cs="Arial"/>
        </w:rPr>
        <w:t xml:space="preserve">  A regular training plan will be put in place going forward.</w:t>
      </w:r>
    </w:p>
    <w:p w:rsidR="0009459B" w:rsidRDefault="0009459B" w:rsidP="00C93AF4">
      <w:pPr>
        <w:rPr>
          <w:rFonts w:cs="Arial"/>
        </w:rPr>
      </w:pPr>
    </w:p>
    <w:p w:rsidR="00B647CA" w:rsidRPr="001404F1" w:rsidRDefault="00B647CA" w:rsidP="00B1379A">
      <w:pPr>
        <w:rPr>
          <w:rFonts w:cs="Arial"/>
          <w:b/>
        </w:rPr>
      </w:pPr>
      <w:r w:rsidRPr="001404F1">
        <w:rPr>
          <w:rFonts w:cs="Arial"/>
          <w:b/>
        </w:rPr>
        <w:t>Climate Change / Environmental Impact</w:t>
      </w:r>
    </w:p>
    <w:p w:rsidR="006D13DC" w:rsidRPr="00C346DC" w:rsidRDefault="006D13DC" w:rsidP="000F409C">
      <w:pPr>
        <w:rPr>
          <w:rFonts w:cs="Arial"/>
        </w:rPr>
      </w:pPr>
    </w:p>
    <w:p w:rsidR="00B647CA" w:rsidRDefault="00F7108D" w:rsidP="006F4BA2">
      <w:pPr>
        <w:numPr>
          <w:ilvl w:val="0"/>
          <w:numId w:val="1"/>
        </w:numPr>
        <w:ind w:left="426" w:hanging="426"/>
        <w:rPr>
          <w:rFonts w:cs="Arial"/>
        </w:rPr>
      </w:pPr>
      <w:r>
        <w:rPr>
          <w:rFonts w:cs="Arial"/>
        </w:rPr>
        <w:t>There are no climate change / environmental impact implications</w:t>
      </w:r>
      <w:r w:rsidRPr="00F7108D">
        <w:rPr>
          <w:rFonts w:cs="Arial"/>
        </w:rPr>
        <w:t xml:space="preserve"> arising directly from this report</w:t>
      </w:r>
      <w:r>
        <w:rPr>
          <w:rFonts w:cs="Arial"/>
        </w:rPr>
        <w:t>.</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r w:rsidR="00F7108D">
        <w:rPr>
          <w:rFonts w:cs="Arial"/>
        </w:rPr>
        <w: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There are no financial implications ari</w:t>
      </w:r>
      <w:r w:rsidR="00F7108D">
        <w:rPr>
          <w:rFonts w:cs="Arial"/>
        </w:rPr>
        <w:t>sing directly from this report.</w:t>
      </w:r>
    </w:p>
    <w:p w:rsidR="007B753F" w:rsidRDefault="007B753F" w:rsidP="00445174">
      <w:pPr>
        <w:rPr>
          <w:rFonts w:cs="Arial"/>
          <w:b/>
        </w:rPr>
      </w:pPr>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B1379A">
            <w:pPr>
              <w:tabs>
                <w:tab w:val="left" w:pos="720"/>
                <w:tab w:val="left" w:pos="1440"/>
                <w:tab w:val="left" w:pos="2160"/>
                <w:tab w:val="left" w:pos="2880"/>
              </w:tabs>
            </w:pPr>
            <w:r>
              <w:t xml:space="preserve">Name: </w:t>
            </w:r>
            <w:r w:rsidR="00F7108D">
              <w:t>Mike Newman / Bill Lewis</w:t>
            </w:r>
          </w:p>
        </w:tc>
      </w:tr>
      <w:tr w:rsidR="005D4C4D">
        <w:trPr>
          <w:trHeight w:val="270"/>
        </w:trPr>
        <w:tc>
          <w:tcPr>
            <w:tcW w:w="9664" w:type="dxa"/>
          </w:tcPr>
          <w:p w:rsidR="005D4C4D" w:rsidRDefault="005D4C4D" w:rsidP="00B1379A">
            <w:pPr>
              <w:tabs>
                <w:tab w:val="left" w:pos="720"/>
                <w:tab w:val="left" w:pos="1440"/>
                <w:tab w:val="left" w:pos="2160"/>
                <w:tab w:val="left" w:pos="2880"/>
              </w:tabs>
            </w:pPr>
            <w:r>
              <w:t xml:space="preserve">Job title: </w:t>
            </w:r>
            <w:r w:rsidR="00F7108D" w:rsidRPr="00F7108D">
              <w:t>Corporate Affairs Lead</w:t>
            </w:r>
            <w:r w:rsidR="00F7108D">
              <w:t xml:space="preserve"> / Financial Accounting Manager</w:t>
            </w:r>
          </w:p>
        </w:tc>
      </w:tr>
      <w:tr w:rsidR="005D4C4D">
        <w:trPr>
          <w:trHeight w:val="270"/>
        </w:trPr>
        <w:tc>
          <w:tcPr>
            <w:tcW w:w="9664" w:type="dxa"/>
          </w:tcPr>
          <w:p w:rsidR="005D4C4D" w:rsidRDefault="005D4C4D" w:rsidP="0098273F">
            <w:pPr>
              <w:tabs>
                <w:tab w:val="left" w:pos="720"/>
                <w:tab w:val="left" w:pos="1440"/>
                <w:tab w:val="left" w:pos="2160"/>
                <w:tab w:val="left" w:pos="2880"/>
              </w:tabs>
            </w:pPr>
            <w:r>
              <w:t xml:space="preserve">Service Area / Department:  </w:t>
            </w:r>
            <w:r w:rsidR="005A5825">
              <w:t xml:space="preserve">Law &amp; Governance / </w:t>
            </w:r>
            <w:r>
              <w:t>Financ</w:t>
            </w:r>
            <w:r w:rsidR="00B949C8">
              <w:t>ial Services</w:t>
            </w:r>
          </w:p>
        </w:tc>
      </w:tr>
      <w:tr w:rsidR="005D4C4D" w:rsidRPr="00B7705C">
        <w:trPr>
          <w:trHeight w:val="570"/>
        </w:trPr>
        <w:tc>
          <w:tcPr>
            <w:tcW w:w="9664" w:type="dxa"/>
          </w:tcPr>
          <w:p w:rsidR="005D4C4D" w:rsidRPr="0098273F" w:rsidRDefault="005D4C4D" w:rsidP="005A5825">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w:t>
            </w:r>
            <w:r w:rsidR="005A5825">
              <w:rPr>
                <w:lang w:val="de-DE"/>
              </w:rPr>
              <w:t xml:space="preserve">2140 / 01865 252607  e-mail: </w:t>
            </w:r>
            <w:r w:rsidR="005A5825" w:rsidRPr="005A5825">
              <w:rPr>
                <w:lang w:val="de-DE"/>
              </w:rPr>
              <w:t>mnewman@oxford.gov.uk</w:t>
            </w:r>
            <w:r w:rsidR="005A5825">
              <w:rPr>
                <w:lang w:val="de-DE"/>
              </w:rPr>
              <w:t xml:space="preserve"> / blewis@oxford.gov.uk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p w:rsidR="006F39D1" w:rsidRDefault="006F39D1">
      <w:pPr>
        <w:rPr>
          <w:rFonts w:cs="Arial"/>
          <w:bCs/>
        </w:rPr>
      </w:pPr>
      <w:r>
        <w:rPr>
          <w:rFonts w:cs="Arial"/>
          <w:bCs/>
        </w:rPr>
        <w:br w:type="page"/>
      </w:r>
    </w:p>
    <w:p w:rsidR="006F39D1" w:rsidRPr="006F39D1" w:rsidRDefault="006F39D1" w:rsidP="006F39D1">
      <w:pPr>
        <w:jc w:val="right"/>
        <w:rPr>
          <w:rFonts w:cs="Arial"/>
          <w:b/>
        </w:rPr>
      </w:pPr>
      <w:bookmarkStart w:id="1" w:name="_Toc297016287"/>
      <w:r w:rsidRPr="006F39D1">
        <w:rPr>
          <w:rFonts w:cs="Arial"/>
          <w:b/>
        </w:rPr>
        <w:t>Appendix 1</w:t>
      </w:r>
    </w:p>
    <w:p w:rsidR="006F39D1" w:rsidRPr="006F39D1" w:rsidRDefault="006F39D1" w:rsidP="006F39D1">
      <w:pPr>
        <w:jc w:val="center"/>
        <w:rPr>
          <w:rFonts w:cs="Arial"/>
          <w:b/>
          <w:u w:val="single"/>
        </w:rPr>
      </w:pPr>
      <w:r w:rsidRPr="006F39D1">
        <w:rPr>
          <w:rFonts w:cs="Arial"/>
          <w:b/>
          <w:u w:val="single"/>
        </w:rPr>
        <w:t xml:space="preserve">Category 1, 2 and 3 </w:t>
      </w:r>
      <w:r>
        <w:rPr>
          <w:rFonts w:cs="Arial"/>
          <w:b/>
          <w:u w:val="single"/>
        </w:rPr>
        <w:t>C</w:t>
      </w:r>
      <w:r w:rsidRPr="006F39D1">
        <w:rPr>
          <w:rFonts w:cs="Arial"/>
          <w:b/>
          <w:u w:val="single"/>
        </w:rPr>
        <w:t xml:space="preserve">ritical </w:t>
      </w:r>
      <w:r>
        <w:rPr>
          <w:rFonts w:cs="Arial"/>
          <w:b/>
          <w:u w:val="single"/>
        </w:rPr>
        <w:t>S</w:t>
      </w:r>
      <w:r w:rsidRPr="006F39D1">
        <w:rPr>
          <w:rFonts w:cs="Arial"/>
          <w:b/>
          <w:u w:val="single"/>
        </w:rPr>
        <w:t>ervices</w:t>
      </w:r>
    </w:p>
    <w:p w:rsidR="006F39D1" w:rsidRPr="006F39D1" w:rsidRDefault="006F39D1" w:rsidP="006F39D1">
      <w:pPr>
        <w:rPr>
          <w:rFonts w:cs="Arial"/>
          <w:bCs/>
          <w:iCs/>
        </w:rPr>
      </w:pPr>
    </w:p>
    <w:p w:rsidR="006F39D1" w:rsidRPr="006F39D1" w:rsidRDefault="006F39D1" w:rsidP="006F39D1">
      <w:pPr>
        <w:rPr>
          <w:rFonts w:cs="Arial"/>
          <w:bCs/>
          <w:iCs/>
        </w:rPr>
      </w:pPr>
      <w:r w:rsidRPr="006F39D1">
        <w:rPr>
          <w:rFonts w:cs="Arial"/>
          <w:b/>
          <w:bCs/>
          <w:i/>
          <w:iCs/>
        </w:rPr>
        <w:t>Group One Activities</w:t>
      </w:r>
      <w:bookmarkEnd w:id="1"/>
      <w:r w:rsidRPr="006F39D1">
        <w:rPr>
          <w:rFonts w:cs="Arial"/>
          <w:b/>
          <w:bCs/>
          <w:i/>
          <w:iCs/>
        </w:rPr>
        <w:t xml:space="preserve"> (Immediate</w:t>
      </w:r>
      <w:r w:rsidRPr="006F39D1">
        <w:rPr>
          <w:rFonts w:cs="Arial"/>
          <w:bCs/>
          <w:iCs/>
        </w:rPr>
        <w:t>)</w:t>
      </w:r>
    </w:p>
    <w:tbl>
      <w:tblPr>
        <w:tblW w:w="9169" w:type="dxa"/>
        <w:tblInd w:w="85" w:type="dxa"/>
        <w:tblLook w:val="04A0" w:firstRow="1" w:lastRow="0" w:firstColumn="1" w:lastColumn="0" w:noHBand="0" w:noVBand="1"/>
      </w:tblPr>
      <w:tblGrid>
        <w:gridCol w:w="2740"/>
        <w:gridCol w:w="4303"/>
        <w:gridCol w:w="2126"/>
      </w:tblGrid>
      <w:tr w:rsidR="006F39D1" w:rsidRPr="006F39D1" w:rsidTr="00216682">
        <w:trPr>
          <w:trHeight w:val="270"/>
        </w:trPr>
        <w:tc>
          <w:tcPr>
            <w:tcW w:w="2740" w:type="dxa"/>
            <w:tcBorders>
              <w:top w:val="double" w:sz="6" w:space="0" w:color="auto"/>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bookmarkStart w:id="2" w:name="RANGE!A1:C13"/>
            <w:r w:rsidRPr="006F39D1">
              <w:rPr>
                <w:rFonts w:cs="Arial"/>
                <w:bCs/>
              </w:rPr>
              <w:t>SERVICE AREA</w:t>
            </w:r>
            <w:bookmarkEnd w:id="2"/>
          </w:p>
        </w:tc>
        <w:tc>
          <w:tcPr>
            <w:tcW w:w="4303" w:type="dxa"/>
            <w:tcBorders>
              <w:top w:val="double" w:sz="6" w:space="0" w:color="auto"/>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p>
        </w:tc>
        <w:tc>
          <w:tcPr>
            <w:tcW w:w="2126" w:type="dxa"/>
            <w:tcBorders>
              <w:top w:val="double" w:sz="6" w:space="0" w:color="auto"/>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REASON GIVEN</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City Development (Building Control)</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Dangerous Structures</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 reputation</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Human Resources and Facilities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Locking/unlocking security of buildings</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 reputation</w:t>
            </w:r>
          </w:p>
        </w:tc>
      </w:tr>
      <w:tr w:rsidR="006F39D1" w:rsidRPr="006F39D1" w:rsidTr="00216682">
        <w:trPr>
          <w:trHeight w:val="497"/>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Customer Services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Contact Centre</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 reputation</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Customer Services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Provide telephone information and advice to customers</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Direct Services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Car Parks emergency out-of-hours line</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Direct Services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Emergency repair work</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w:t>
            </w:r>
          </w:p>
        </w:tc>
      </w:tr>
      <w:tr w:rsidR="006F39D1" w:rsidRPr="006F39D1" w:rsidTr="00216682">
        <w:trPr>
          <w:trHeight w:val="255"/>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Direct Services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Food and Waste Collection</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Public health</w:t>
            </w:r>
          </w:p>
        </w:tc>
      </w:tr>
      <w:tr w:rsidR="006F39D1" w:rsidRPr="006F39D1" w:rsidTr="00216682">
        <w:trPr>
          <w:trHeight w:val="255"/>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Direct Services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Flooding Drainage</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 reputation</w:t>
            </w:r>
          </w:p>
        </w:tc>
      </w:tr>
      <w:tr w:rsidR="006F39D1" w:rsidRPr="006F39D1" w:rsidTr="00216682">
        <w:trPr>
          <w:trHeight w:val="255"/>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Direct Services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Winter maintenance</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w:t>
            </w:r>
          </w:p>
        </w:tc>
      </w:tr>
      <w:tr w:rsidR="006F39D1" w:rsidRPr="006F39D1" w:rsidTr="00216682">
        <w:trPr>
          <w:trHeight w:val="255"/>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Environmental Development</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Respond to emergency issues (sewage flooding, pest control, notifiable diseases, accidents/deaths at work, food poisoning/complaints/hazards, burst pipes, unsafe housing)</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 reputation</w:t>
            </w:r>
          </w:p>
        </w:tc>
      </w:tr>
      <w:tr w:rsidR="006F39D1" w:rsidRPr="006F39D1" w:rsidTr="00216682">
        <w:trPr>
          <w:trHeight w:val="255"/>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Environmental Development</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Advice and guidance from EH officer</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Housing and Property</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Homelessness</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Human Resources and Facilities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Health and Safety (Council properties)</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 reputation</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Human Resources and Facilities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Retention factors/employee relations</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Law and Governance</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Electoral Services (only on Polling Day or the day before)</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Leisure, Parks and Communities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Tree maintenance</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w:t>
            </w:r>
          </w:p>
        </w:tc>
      </w:tr>
      <w:tr w:rsidR="006F39D1" w:rsidRPr="006F39D1" w:rsidTr="00216682">
        <w:trPr>
          <w:trHeight w:val="510"/>
        </w:trPr>
        <w:tc>
          <w:tcPr>
            <w:tcW w:w="2740"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Policy, Culture and Communications</w:t>
            </w:r>
          </w:p>
        </w:tc>
        <w:tc>
          <w:tcPr>
            <w:tcW w:w="4303"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Media and external communications</w:t>
            </w:r>
          </w:p>
        </w:tc>
        <w:tc>
          <w:tcPr>
            <w:tcW w:w="2126"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bl>
    <w:p w:rsidR="006F39D1" w:rsidRPr="006F39D1" w:rsidRDefault="006F39D1" w:rsidP="006F39D1">
      <w:pPr>
        <w:rPr>
          <w:rFonts w:cs="Arial"/>
          <w:bCs/>
        </w:rPr>
      </w:pPr>
    </w:p>
    <w:p w:rsidR="006F39D1" w:rsidRPr="006F39D1" w:rsidRDefault="006F39D1" w:rsidP="006F39D1">
      <w:pPr>
        <w:rPr>
          <w:rFonts w:cs="Arial"/>
          <w:b/>
          <w:bCs/>
          <w:i/>
          <w:iCs/>
        </w:rPr>
      </w:pPr>
      <w:r w:rsidRPr="006F39D1">
        <w:rPr>
          <w:rFonts w:cs="Arial"/>
          <w:bCs/>
          <w:iCs/>
        </w:rPr>
        <w:br w:type="page"/>
      </w:r>
      <w:bookmarkStart w:id="3" w:name="_Toc297016288"/>
      <w:r w:rsidRPr="006F39D1">
        <w:rPr>
          <w:rFonts w:cs="Arial"/>
          <w:b/>
          <w:bCs/>
          <w:i/>
          <w:iCs/>
        </w:rPr>
        <w:t>Group Two Activities</w:t>
      </w:r>
      <w:bookmarkEnd w:id="3"/>
      <w:r w:rsidRPr="006F39D1">
        <w:rPr>
          <w:rFonts w:cs="Arial"/>
          <w:b/>
          <w:bCs/>
          <w:i/>
          <w:iCs/>
        </w:rPr>
        <w:t xml:space="preserve"> (1-7 days)</w:t>
      </w:r>
    </w:p>
    <w:tbl>
      <w:tblPr>
        <w:tblW w:w="9156" w:type="dxa"/>
        <w:tblInd w:w="85" w:type="dxa"/>
        <w:tblLook w:val="04A0" w:firstRow="1" w:lastRow="0" w:firstColumn="1" w:lastColumn="0" w:noHBand="0" w:noVBand="1"/>
      </w:tblPr>
      <w:tblGrid>
        <w:gridCol w:w="2738"/>
        <w:gridCol w:w="4231"/>
        <w:gridCol w:w="2187"/>
      </w:tblGrid>
      <w:tr w:rsidR="006F39D1" w:rsidRPr="006F39D1" w:rsidTr="00216682">
        <w:trPr>
          <w:trHeight w:val="270"/>
        </w:trPr>
        <w:tc>
          <w:tcPr>
            <w:tcW w:w="2738" w:type="dxa"/>
            <w:tcBorders>
              <w:top w:val="double" w:sz="6" w:space="0" w:color="auto"/>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SERVICE AREA</w:t>
            </w:r>
          </w:p>
        </w:tc>
        <w:tc>
          <w:tcPr>
            <w:tcW w:w="4231" w:type="dxa"/>
            <w:tcBorders>
              <w:top w:val="double" w:sz="6" w:space="0" w:color="auto"/>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p>
        </w:tc>
        <w:tc>
          <w:tcPr>
            <w:tcW w:w="2187" w:type="dxa"/>
            <w:tcBorders>
              <w:top w:val="double" w:sz="6" w:space="0" w:color="auto"/>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REASON GIVEN</w:t>
            </w:r>
          </w:p>
        </w:tc>
      </w:tr>
      <w:tr w:rsidR="006F39D1" w:rsidRPr="006F39D1" w:rsidTr="00216682">
        <w:trPr>
          <w:trHeight w:val="255"/>
        </w:trPr>
        <w:tc>
          <w:tcPr>
            <w:tcW w:w="2738"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 xml:space="preserve">Direct Services   </w:t>
            </w:r>
          </w:p>
        </w:tc>
        <w:tc>
          <w:tcPr>
            <w:tcW w:w="4231"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Street cleaning</w:t>
            </w:r>
          </w:p>
        </w:tc>
        <w:tc>
          <w:tcPr>
            <w:tcW w:w="2187"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Public health, reputation</w:t>
            </w:r>
          </w:p>
        </w:tc>
      </w:tr>
      <w:tr w:rsidR="006F39D1" w:rsidRPr="006F39D1" w:rsidTr="00216682">
        <w:trPr>
          <w:trHeight w:val="255"/>
        </w:trPr>
        <w:tc>
          <w:tcPr>
            <w:tcW w:w="2738"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Direct Services</w:t>
            </w:r>
          </w:p>
        </w:tc>
        <w:tc>
          <w:tcPr>
            <w:tcW w:w="4231"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Motor Transport Emergency Work</w:t>
            </w:r>
          </w:p>
        </w:tc>
        <w:tc>
          <w:tcPr>
            <w:tcW w:w="2187"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 xml:space="preserve">Life, public health  </w:t>
            </w:r>
          </w:p>
        </w:tc>
      </w:tr>
      <w:tr w:rsidR="006F39D1" w:rsidRPr="006F39D1" w:rsidTr="00216682">
        <w:trPr>
          <w:trHeight w:val="510"/>
        </w:trPr>
        <w:tc>
          <w:tcPr>
            <w:tcW w:w="2738"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Customer Services and Finance</w:t>
            </w:r>
          </w:p>
        </w:tc>
        <w:tc>
          <w:tcPr>
            <w:tcW w:w="4231"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Benefits (emergency payments only)</w:t>
            </w:r>
          </w:p>
        </w:tc>
        <w:tc>
          <w:tcPr>
            <w:tcW w:w="2187"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Payments out, money received</w:t>
            </w:r>
          </w:p>
        </w:tc>
      </w:tr>
      <w:tr w:rsidR="006F39D1" w:rsidRPr="006F39D1" w:rsidTr="00216682">
        <w:trPr>
          <w:trHeight w:val="255"/>
        </w:trPr>
        <w:tc>
          <w:tcPr>
            <w:tcW w:w="2738"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Direct Services</w:t>
            </w:r>
          </w:p>
        </w:tc>
        <w:tc>
          <w:tcPr>
            <w:tcW w:w="4231"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Food and Waste Collection</w:t>
            </w:r>
          </w:p>
        </w:tc>
        <w:tc>
          <w:tcPr>
            <w:tcW w:w="2187"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38"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Environmental Development</w:t>
            </w:r>
          </w:p>
        </w:tc>
        <w:tc>
          <w:tcPr>
            <w:tcW w:w="4231"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Anti-social behaviour</w:t>
            </w:r>
          </w:p>
        </w:tc>
        <w:tc>
          <w:tcPr>
            <w:tcW w:w="2187"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Life, public health, money received</w:t>
            </w:r>
          </w:p>
        </w:tc>
      </w:tr>
      <w:tr w:rsidR="006F39D1" w:rsidRPr="006F39D1" w:rsidTr="00216682">
        <w:trPr>
          <w:trHeight w:val="255"/>
        </w:trPr>
        <w:tc>
          <w:tcPr>
            <w:tcW w:w="2738"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Human Resources and Facilities</w:t>
            </w:r>
          </w:p>
        </w:tc>
        <w:tc>
          <w:tcPr>
            <w:tcW w:w="4231"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Retention factors/employee relations</w:t>
            </w:r>
          </w:p>
        </w:tc>
        <w:tc>
          <w:tcPr>
            <w:tcW w:w="2187"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38" w:type="dxa"/>
            <w:tcBorders>
              <w:top w:val="nil"/>
              <w:left w:val="double" w:sz="6" w:space="0" w:color="auto"/>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Law and Governance</w:t>
            </w:r>
          </w:p>
        </w:tc>
        <w:tc>
          <w:tcPr>
            <w:tcW w:w="4231" w:type="dxa"/>
            <w:tcBorders>
              <w:top w:val="nil"/>
              <w:left w:val="nil"/>
              <w:bottom w:val="single" w:sz="4" w:space="0" w:color="auto"/>
              <w:right w:val="single" w:sz="4" w:space="0" w:color="auto"/>
            </w:tcBorders>
            <w:shd w:val="clear" w:color="auto" w:fill="auto"/>
            <w:vAlign w:val="bottom"/>
          </w:tcPr>
          <w:p w:rsidR="006F39D1" w:rsidRPr="006F39D1" w:rsidRDefault="006F39D1" w:rsidP="006F39D1">
            <w:pPr>
              <w:rPr>
                <w:rFonts w:cs="Arial"/>
                <w:bCs/>
              </w:rPr>
            </w:pPr>
            <w:r w:rsidRPr="006F39D1">
              <w:rPr>
                <w:rFonts w:cs="Arial"/>
                <w:bCs/>
              </w:rPr>
              <w:t>Court deadlines, hearings</w:t>
            </w:r>
          </w:p>
        </w:tc>
        <w:tc>
          <w:tcPr>
            <w:tcW w:w="2187" w:type="dxa"/>
            <w:tcBorders>
              <w:top w:val="nil"/>
              <w:left w:val="nil"/>
              <w:bottom w:val="single" w:sz="4" w:space="0" w:color="auto"/>
              <w:right w:val="double" w:sz="6" w:space="0" w:color="auto"/>
            </w:tcBorders>
            <w:shd w:val="clear" w:color="auto" w:fill="auto"/>
            <w:vAlign w:val="bottom"/>
          </w:tcPr>
          <w:p w:rsidR="006F39D1" w:rsidRPr="006F39D1" w:rsidRDefault="006F39D1" w:rsidP="006F39D1">
            <w:pPr>
              <w:rPr>
                <w:rFonts w:cs="Arial"/>
                <w:bCs/>
              </w:rPr>
            </w:pPr>
            <w:r w:rsidRPr="006F39D1">
              <w:rPr>
                <w:rFonts w:cs="Arial"/>
                <w:bCs/>
              </w:rPr>
              <w:t>Reputation</w:t>
            </w:r>
          </w:p>
        </w:tc>
      </w:tr>
    </w:tbl>
    <w:p w:rsidR="006F39D1" w:rsidRPr="006F39D1" w:rsidRDefault="006F39D1" w:rsidP="006F39D1">
      <w:pPr>
        <w:rPr>
          <w:rFonts w:cs="Arial"/>
          <w:bCs/>
          <w:iCs/>
        </w:rPr>
      </w:pPr>
      <w:r w:rsidRPr="006F39D1">
        <w:rPr>
          <w:rFonts w:cs="Arial"/>
          <w:bCs/>
          <w:iCs/>
        </w:rPr>
        <w:br w:type="page"/>
      </w:r>
      <w:bookmarkStart w:id="4" w:name="_Toc297016289"/>
    </w:p>
    <w:p w:rsidR="006F39D1" w:rsidRPr="006F39D1" w:rsidRDefault="006F39D1" w:rsidP="006F39D1">
      <w:pPr>
        <w:rPr>
          <w:rFonts w:cs="Arial"/>
          <w:b/>
          <w:bCs/>
          <w:i/>
          <w:iCs/>
        </w:rPr>
      </w:pPr>
      <w:r w:rsidRPr="006F39D1">
        <w:rPr>
          <w:rFonts w:cs="Arial"/>
          <w:b/>
          <w:bCs/>
          <w:i/>
          <w:iCs/>
        </w:rPr>
        <w:t>Group Three Activities</w:t>
      </w:r>
      <w:bookmarkEnd w:id="4"/>
      <w:r w:rsidRPr="006F39D1">
        <w:rPr>
          <w:rFonts w:cs="Arial"/>
          <w:b/>
          <w:bCs/>
          <w:i/>
          <w:iCs/>
        </w:rPr>
        <w:t xml:space="preserve"> (After 1 week)</w:t>
      </w: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4231"/>
        <w:gridCol w:w="2187"/>
      </w:tblGrid>
      <w:tr w:rsidR="006F39D1" w:rsidRPr="006F39D1" w:rsidTr="00216682">
        <w:trPr>
          <w:trHeight w:val="270"/>
        </w:trPr>
        <w:tc>
          <w:tcPr>
            <w:tcW w:w="2738" w:type="dxa"/>
            <w:shd w:val="clear" w:color="auto" w:fill="auto"/>
          </w:tcPr>
          <w:p w:rsidR="006F39D1" w:rsidRPr="006F39D1" w:rsidRDefault="006F39D1" w:rsidP="006F39D1">
            <w:pPr>
              <w:rPr>
                <w:rFonts w:cs="Arial"/>
                <w:bCs/>
              </w:rPr>
            </w:pPr>
            <w:r w:rsidRPr="006F39D1">
              <w:rPr>
                <w:rFonts w:cs="Arial"/>
                <w:bCs/>
              </w:rPr>
              <w:t>SERVICE AREA</w:t>
            </w:r>
          </w:p>
        </w:tc>
        <w:tc>
          <w:tcPr>
            <w:tcW w:w="4231" w:type="dxa"/>
            <w:shd w:val="clear" w:color="auto" w:fill="auto"/>
          </w:tcPr>
          <w:p w:rsidR="006F39D1" w:rsidRPr="006F39D1" w:rsidRDefault="006F39D1" w:rsidP="006F39D1">
            <w:pPr>
              <w:rPr>
                <w:rFonts w:cs="Arial"/>
                <w:bCs/>
              </w:rPr>
            </w:pPr>
          </w:p>
        </w:tc>
        <w:tc>
          <w:tcPr>
            <w:tcW w:w="2187" w:type="dxa"/>
            <w:shd w:val="clear" w:color="auto" w:fill="auto"/>
          </w:tcPr>
          <w:p w:rsidR="006F39D1" w:rsidRPr="006F39D1" w:rsidRDefault="006F39D1" w:rsidP="006F39D1">
            <w:pPr>
              <w:rPr>
                <w:rFonts w:cs="Arial"/>
                <w:bCs/>
              </w:rPr>
            </w:pPr>
            <w:r w:rsidRPr="006F39D1">
              <w:rPr>
                <w:rFonts w:cs="Arial"/>
                <w:bCs/>
              </w:rPr>
              <w:t>REASON GIVEN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City Development (Building Control)</w:t>
            </w:r>
          </w:p>
        </w:tc>
        <w:tc>
          <w:tcPr>
            <w:tcW w:w="4231" w:type="dxa"/>
            <w:shd w:val="clear" w:color="auto" w:fill="auto"/>
          </w:tcPr>
          <w:p w:rsidR="006F39D1" w:rsidRPr="006F39D1" w:rsidRDefault="006F39D1" w:rsidP="006F39D1">
            <w:pPr>
              <w:rPr>
                <w:rFonts w:cs="Arial"/>
                <w:bCs/>
              </w:rPr>
            </w:pPr>
            <w:r w:rsidRPr="006F39D1">
              <w:rPr>
                <w:rFonts w:cs="Arial"/>
                <w:bCs/>
              </w:rPr>
              <w:t>Demolition sites</w:t>
            </w:r>
          </w:p>
        </w:tc>
        <w:tc>
          <w:tcPr>
            <w:tcW w:w="2187" w:type="dxa"/>
            <w:shd w:val="clear" w:color="auto" w:fill="auto"/>
          </w:tcPr>
          <w:p w:rsidR="006F39D1" w:rsidRPr="006F39D1" w:rsidRDefault="006F39D1" w:rsidP="006F39D1">
            <w:pPr>
              <w:rPr>
                <w:rFonts w:cs="Arial"/>
                <w:bCs/>
              </w:rPr>
            </w:pPr>
            <w:r w:rsidRPr="006F39D1">
              <w:rPr>
                <w:rFonts w:cs="Arial"/>
                <w:bCs/>
              </w:rPr>
              <w:t>Life, public health, money received</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City Development (Building Control)</w:t>
            </w:r>
          </w:p>
        </w:tc>
        <w:tc>
          <w:tcPr>
            <w:tcW w:w="4231" w:type="dxa"/>
            <w:shd w:val="clear" w:color="auto" w:fill="auto"/>
          </w:tcPr>
          <w:p w:rsidR="006F39D1" w:rsidRPr="006F39D1" w:rsidRDefault="006F39D1" w:rsidP="006F39D1">
            <w:pPr>
              <w:rPr>
                <w:rFonts w:cs="Arial"/>
                <w:bCs/>
              </w:rPr>
            </w:pPr>
            <w:r w:rsidRPr="006F39D1">
              <w:rPr>
                <w:rFonts w:cs="Arial"/>
                <w:bCs/>
              </w:rPr>
              <w:t>Issuing statutory notices/decisions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City Development (Building Control)</w:t>
            </w:r>
          </w:p>
        </w:tc>
        <w:tc>
          <w:tcPr>
            <w:tcW w:w="4231" w:type="dxa"/>
            <w:shd w:val="clear" w:color="auto" w:fill="auto"/>
          </w:tcPr>
          <w:p w:rsidR="006F39D1" w:rsidRPr="006F39D1" w:rsidRDefault="006F39D1" w:rsidP="006F39D1">
            <w:pPr>
              <w:rPr>
                <w:rFonts w:cs="Arial"/>
                <w:bCs/>
              </w:rPr>
            </w:pPr>
            <w:r w:rsidRPr="006F39D1">
              <w:rPr>
                <w:rFonts w:cs="Arial"/>
                <w:bCs/>
              </w:rPr>
              <w:t>Property searches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City Development (Building Control)</w:t>
            </w:r>
          </w:p>
        </w:tc>
        <w:tc>
          <w:tcPr>
            <w:tcW w:w="4231" w:type="dxa"/>
            <w:shd w:val="clear" w:color="auto" w:fill="auto"/>
          </w:tcPr>
          <w:p w:rsidR="006F39D1" w:rsidRPr="006F39D1" w:rsidRDefault="006F39D1" w:rsidP="006F39D1">
            <w:pPr>
              <w:rPr>
                <w:rFonts w:cs="Arial"/>
                <w:bCs/>
              </w:rPr>
            </w:pPr>
            <w:r w:rsidRPr="006F39D1">
              <w:rPr>
                <w:rFonts w:cs="Arial"/>
                <w:bCs/>
              </w:rPr>
              <w:t>Registration of applications</w:t>
            </w:r>
          </w:p>
        </w:tc>
        <w:tc>
          <w:tcPr>
            <w:tcW w:w="2187" w:type="dxa"/>
            <w:shd w:val="clear" w:color="auto" w:fill="auto"/>
          </w:tcPr>
          <w:p w:rsidR="006F39D1" w:rsidRPr="006F39D1" w:rsidRDefault="006F39D1" w:rsidP="006F39D1">
            <w:pPr>
              <w:rPr>
                <w:rFonts w:cs="Arial"/>
                <w:bCs/>
              </w:rPr>
            </w:pPr>
            <w:r w:rsidRPr="006F39D1">
              <w:rPr>
                <w:rFonts w:cs="Arial"/>
                <w:bCs/>
              </w:rPr>
              <w:t>Money received, 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City Development (Planning)</w:t>
            </w:r>
          </w:p>
        </w:tc>
        <w:tc>
          <w:tcPr>
            <w:tcW w:w="4231" w:type="dxa"/>
            <w:shd w:val="clear" w:color="auto" w:fill="auto"/>
          </w:tcPr>
          <w:p w:rsidR="006F39D1" w:rsidRPr="006F39D1" w:rsidRDefault="006F39D1" w:rsidP="006F39D1">
            <w:pPr>
              <w:rPr>
                <w:rFonts w:cs="Arial"/>
                <w:bCs/>
              </w:rPr>
            </w:pPr>
            <w:r w:rsidRPr="006F39D1">
              <w:rPr>
                <w:rFonts w:cs="Arial"/>
                <w:bCs/>
              </w:rPr>
              <w:t>Handling planning applications and associated services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Customer Services</w:t>
            </w:r>
          </w:p>
        </w:tc>
        <w:tc>
          <w:tcPr>
            <w:tcW w:w="4231" w:type="dxa"/>
            <w:shd w:val="clear" w:color="auto" w:fill="auto"/>
          </w:tcPr>
          <w:p w:rsidR="006F39D1" w:rsidRPr="006F39D1" w:rsidRDefault="006F39D1" w:rsidP="006F39D1">
            <w:pPr>
              <w:rPr>
                <w:rFonts w:cs="Arial"/>
                <w:bCs/>
              </w:rPr>
            </w:pPr>
            <w:r w:rsidRPr="006F39D1">
              <w:rPr>
                <w:rFonts w:cs="Arial"/>
                <w:bCs/>
              </w:rPr>
              <w:t>Counter service</w:t>
            </w:r>
          </w:p>
        </w:tc>
        <w:tc>
          <w:tcPr>
            <w:tcW w:w="2187" w:type="dxa"/>
            <w:shd w:val="clear" w:color="auto" w:fill="auto"/>
          </w:tcPr>
          <w:p w:rsidR="006F39D1" w:rsidRPr="006F39D1" w:rsidRDefault="006F39D1" w:rsidP="006F39D1">
            <w:pPr>
              <w:rPr>
                <w:rFonts w:cs="Arial"/>
                <w:bCs/>
              </w:rPr>
            </w:pPr>
            <w:r w:rsidRPr="006F39D1">
              <w:rPr>
                <w:rFonts w:cs="Arial"/>
                <w:bCs/>
              </w:rPr>
              <w:t>Money received</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Customer Services</w:t>
            </w:r>
          </w:p>
        </w:tc>
        <w:tc>
          <w:tcPr>
            <w:tcW w:w="4231" w:type="dxa"/>
            <w:shd w:val="clear" w:color="auto" w:fill="auto"/>
          </w:tcPr>
          <w:p w:rsidR="006F39D1" w:rsidRPr="006F39D1" w:rsidRDefault="006F39D1" w:rsidP="006F39D1">
            <w:pPr>
              <w:rPr>
                <w:rFonts w:cs="Arial"/>
                <w:bCs/>
              </w:rPr>
            </w:pPr>
            <w:r w:rsidRPr="006F39D1">
              <w:rPr>
                <w:rFonts w:cs="Arial"/>
                <w:bCs/>
              </w:rPr>
              <w:t>Personal visits to provide information and advice to customers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 xml:space="preserve">Direct Services </w:t>
            </w:r>
          </w:p>
        </w:tc>
        <w:tc>
          <w:tcPr>
            <w:tcW w:w="4231" w:type="dxa"/>
            <w:shd w:val="clear" w:color="auto" w:fill="auto"/>
          </w:tcPr>
          <w:p w:rsidR="006F39D1" w:rsidRPr="006F39D1" w:rsidRDefault="006F39D1" w:rsidP="006F39D1">
            <w:pPr>
              <w:rPr>
                <w:rFonts w:cs="Arial"/>
                <w:bCs/>
              </w:rPr>
            </w:pPr>
            <w:r w:rsidRPr="006F39D1">
              <w:rPr>
                <w:rFonts w:cs="Arial"/>
                <w:bCs/>
              </w:rPr>
              <w:t>Collecting of parking revenue</w:t>
            </w:r>
          </w:p>
        </w:tc>
        <w:tc>
          <w:tcPr>
            <w:tcW w:w="2187" w:type="dxa"/>
            <w:shd w:val="clear" w:color="auto" w:fill="auto"/>
          </w:tcPr>
          <w:p w:rsidR="006F39D1" w:rsidRPr="006F39D1" w:rsidRDefault="006F39D1" w:rsidP="006F39D1">
            <w:pPr>
              <w:rPr>
                <w:rFonts w:cs="Arial"/>
                <w:bCs/>
              </w:rPr>
            </w:pPr>
            <w:r w:rsidRPr="006F39D1">
              <w:rPr>
                <w:rFonts w:cs="Arial"/>
                <w:bCs/>
              </w:rPr>
              <w:t>Money received</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 xml:space="preserve">Direct Services </w:t>
            </w:r>
          </w:p>
        </w:tc>
        <w:tc>
          <w:tcPr>
            <w:tcW w:w="4231" w:type="dxa"/>
            <w:shd w:val="clear" w:color="auto" w:fill="auto"/>
          </w:tcPr>
          <w:p w:rsidR="006F39D1" w:rsidRPr="006F39D1" w:rsidRDefault="006F39D1" w:rsidP="006F39D1">
            <w:pPr>
              <w:rPr>
                <w:rFonts w:cs="Arial"/>
                <w:bCs/>
              </w:rPr>
            </w:pPr>
            <w:r w:rsidRPr="006F39D1">
              <w:rPr>
                <w:rFonts w:cs="Arial"/>
                <w:bCs/>
              </w:rPr>
              <w:t>Enforcement and collection of penalties</w:t>
            </w:r>
          </w:p>
        </w:tc>
        <w:tc>
          <w:tcPr>
            <w:tcW w:w="2187" w:type="dxa"/>
            <w:shd w:val="clear" w:color="auto" w:fill="auto"/>
          </w:tcPr>
          <w:p w:rsidR="006F39D1" w:rsidRPr="006F39D1" w:rsidRDefault="006F39D1" w:rsidP="006F39D1">
            <w:pPr>
              <w:rPr>
                <w:rFonts w:cs="Arial"/>
                <w:bCs/>
              </w:rPr>
            </w:pPr>
            <w:r w:rsidRPr="006F39D1">
              <w:rPr>
                <w:rFonts w:cs="Arial"/>
                <w:bCs/>
              </w:rPr>
              <w:t>Money received</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 xml:space="preserve">Direct Services  </w:t>
            </w:r>
          </w:p>
        </w:tc>
        <w:tc>
          <w:tcPr>
            <w:tcW w:w="4231" w:type="dxa"/>
            <w:shd w:val="clear" w:color="auto" w:fill="auto"/>
          </w:tcPr>
          <w:p w:rsidR="006F39D1" w:rsidRPr="006F39D1" w:rsidRDefault="006F39D1" w:rsidP="006F39D1">
            <w:pPr>
              <w:rPr>
                <w:rFonts w:cs="Arial"/>
                <w:bCs/>
              </w:rPr>
            </w:pPr>
            <w:r w:rsidRPr="006F39D1">
              <w:rPr>
                <w:rFonts w:cs="Arial"/>
                <w:bCs/>
              </w:rPr>
              <w:t>MOT and taxi testing</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 xml:space="preserve">Direct Services </w:t>
            </w:r>
          </w:p>
        </w:tc>
        <w:tc>
          <w:tcPr>
            <w:tcW w:w="4231" w:type="dxa"/>
            <w:shd w:val="clear" w:color="auto" w:fill="auto"/>
          </w:tcPr>
          <w:p w:rsidR="006F39D1" w:rsidRPr="006F39D1" w:rsidRDefault="006F39D1" w:rsidP="006F39D1">
            <w:pPr>
              <w:rPr>
                <w:rFonts w:cs="Arial"/>
                <w:bCs/>
              </w:rPr>
            </w:pPr>
            <w:r w:rsidRPr="006F39D1">
              <w:rPr>
                <w:rFonts w:cs="Arial"/>
                <w:bCs/>
              </w:rPr>
              <w:t>Motor transport</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 xml:space="preserve">Direct Services </w:t>
            </w:r>
          </w:p>
        </w:tc>
        <w:tc>
          <w:tcPr>
            <w:tcW w:w="4231" w:type="dxa"/>
            <w:shd w:val="clear" w:color="auto" w:fill="auto"/>
          </w:tcPr>
          <w:p w:rsidR="006F39D1" w:rsidRPr="006F39D1" w:rsidRDefault="006F39D1" w:rsidP="006F39D1">
            <w:pPr>
              <w:rPr>
                <w:rFonts w:cs="Arial"/>
                <w:bCs/>
              </w:rPr>
            </w:pPr>
            <w:r w:rsidRPr="006F39D1">
              <w:rPr>
                <w:rFonts w:cs="Arial"/>
                <w:bCs/>
              </w:rPr>
              <w:t>Provision of car parking spaces</w:t>
            </w:r>
          </w:p>
        </w:tc>
        <w:tc>
          <w:tcPr>
            <w:tcW w:w="2187" w:type="dxa"/>
            <w:shd w:val="clear" w:color="auto" w:fill="auto"/>
          </w:tcPr>
          <w:p w:rsidR="006F39D1" w:rsidRPr="006F39D1" w:rsidRDefault="006F39D1" w:rsidP="006F39D1">
            <w:pPr>
              <w:rPr>
                <w:rFonts w:cs="Arial"/>
                <w:bCs/>
              </w:rPr>
            </w:pPr>
            <w:r w:rsidRPr="006F39D1">
              <w:rPr>
                <w:rFonts w:cs="Arial"/>
                <w:bCs/>
              </w:rPr>
              <w:t>Money received, 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Direct Services</w:t>
            </w:r>
            <w:r w:rsidRPr="006F39D1">
              <w:rPr>
                <w:rFonts w:cs="Arial"/>
                <w:bCs/>
              </w:rPr>
              <w:tab/>
            </w:r>
            <w:r w:rsidRPr="006F39D1">
              <w:rPr>
                <w:rFonts w:cs="Arial"/>
                <w:bCs/>
              </w:rPr>
              <w:tab/>
            </w:r>
          </w:p>
        </w:tc>
        <w:tc>
          <w:tcPr>
            <w:tcW w:w="4231" w:type="dxa"/>
            <w:shd w:val="clear" w:color="auto" w:fill="auto"/>
          </w:tcPr>
          <w:p w:rsidR="006F39D1" w:rsidRPr="006F39D1" w:rsidRDefault="006F39D1" w:rsidP="006F39D1">
            <w:pPr>
              <w:rPr>
                <w:rFonts w:cs="Arial"/>
                <w:bCs/>
              </w:rPr>
            </w:pPr>
            <w:r w:rsidRPr="006F39D1">
              <w:rPr>
                <w:rFonts w:cs="Arial"/>
                <w:bCs/>
              </w:rPr>
              <w:t>Recycling</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Environmental Development</w:t>
            </w:r>
          </w:p>
        </w:tc>
        <w:tc>
          <w:tcPr>
            <w:tcW w:w="4231" w:type="dxa"/>
            <w:shd w:val="clear" w:color="auto" w:fill="auto"/>
          </w:tcPr>
          <w:p w:rsidR="006F39D1" w:rsidRPr="006F39D1" w:rsidRDefault="006F39D1" w:rsidP="006F39D1">
            <w:pPr>
              <w:rPr>
                <w:rFonts w:cs="Arial"/>
                <w:bCs/>
              </w:rPr>
            </w:pPr>
            <w:r w:rsidRPr="006F39D1">
              <w:rPr>
                <w:rFonts w:cs="Arial"/>
                <w:bCs/>
              </w:rPr>
              <w:t>Harassment/illegal evictions</w:t>
            </w:r>
          </w:p>
        </w:tc>
        <w:tc>
          <w:tcPr>
            <w:tcW w:w="2187" w:type="dxa"/>
            <w:shd w:val="clear" w:color="auto" w:fill="auto"/>
          </w:tcPr>
          <w:p w:rsidR="006F39D1" w:rsidRPr="006F39D1" w:rsidRDefault="006F39D1" w:rsidP="006F39D1">
            <w:pPr>
              <w:rPr>
                <w:rFonts w:cs="Arial"/>
                <w:bCs/>
              </w:rPr>
            </w:pPr>
            <w:r w:rsidRPr="006F39D1">
              <w:rPr>
                <w:rFonts w:cs="Arial"/>
                <w:bCs/>
              </w:rPr>
              <w:t>Life</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6F39D1">
              <w:rPr>
                <w:rFonts w:cs="Arial"/>
                <w:bCs/>
              </w:rPr>
              <w:t>Financ</w:t>
            </w:r>
            <w:r>
              <w:rPr>
                <w:rFonts w:cs="Arial"/>
                <w:bCs/>
              </w:rPr>
              <w:t>ial Services</w:t>
            </w:r>
          </w:p>
        </w:tc>
        <w:tc>
          <w:tcPr>
            <w:tcW w:w="4231" w:type="dxa"/>
            <w:shd w:val="clear" w:color="auto" w:fill="auto"/>
          </w:tcPr>
          <w:p w:rsidR="006F39D1" w:rsidRPr="006F39D1" w:rsidRDefault="006F39D1" w:rsidP="006F39D1">
            <w:pPr>
              <w:rPr>
                <w:rFonts w:cs="Arial"/>
                <w:bCs/>
              </w:rPr>
            </w:pPr>
            <w:r w:rsidRPr="006F39D1">
              <w:rPr>
                <w:rFonts w:cs="Arial"/>
                <w:bCs/>
              </w:rPr>
              <w:t>Coin counting and banking</w:t>
            </w:r>
          </w:p>
        </w:tc>
        <w:tc>
          <w:tcPr>
            <w:tcW w:w="2187" w:type="dxa"/>
            <w:shd w:val="clear" w:color="auto" w:fill="auto"/>
          </w:tcPr>
          <w:p w:rsidR="006F39D1" w:rsidRPr="006F39D1" w:rsidRDefault="006F39D1" w:rsidP="006F39D1">
            <w:pPr>
              <w:rPr>
                <w:rFonts w:cs="Arial"/>
                <w:bCs/>
              </w:rPr>
            </w:pPr>
            <w:r w:rsidRPr="006F39D1">
              <w:rPr>
                <w:rFonts w:cs="Arial"/>
                <w:bCs/>
              </w:rPr>
              <w:t>Money received</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F24DF2">
              <w:t>Financial Services</w:t>
            </w:r>
          </w:p>
        </w:tc>
        <w:tc>
          <w:tcPr>
            <w:tcW w:w="4231" w:type="dxa"/>
            <w:shd w:val="clear" w:color="auto" w:fill="auto"/>
          </w:tcPr>
          <w:p w:rsidR="006F39D1" w:rsidRPr="006F39D1" w:rsidRDefault="006F39D1" w:rsidP="006F39D1">
            <w:pPr>
              <w:rPr>
                <w:rFonts w:cs="Arial"/>
                <w:bCs/>
              </w:rPr>
            </w:pPr>
            <w:r w:rsidRPr="006F39D1">
              <w:rPr>
                <w:rFonts w:cs="Arial"/>
                <w:bCs/>
              </w:rPr>
              <w:t>Cash records to other council systems</w:t>
            </w:r>
          </w:p>
        </w:tc>
        <w:tc>
          <w:tcPr>
            <w:tcW w:w="2187" w:type="dxa"/>
            <w:shd w:val="clear" w:color="auto" w:fill="auto"/>
          </w:tcPr>
          <w:p w:rsidR="006F39D1" w:rsidRPr="006F39D1" w:rsidRDefault="006F39D1" w:rsidP="006F39D1">
            <w:pPr>
              <w:rPr>
                <w:rFonts w:cs="Arial"/>
                <w:bCs/>
              </w:rPr>
            </w:pPr>
            <w:r w:rsidRPr="006F39D1">
              <w:rPr>
                <w:rFonts w:cs="Arial"/>
                <w:bCs/>
              </w:rPr>
              <w:t>Money received</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F24DF2">
              <w:t>Financial Services</w:t>
            </w:r>
          </w:p>
        </w:tc>
        <w:tc>
          <w:tcPr>
            <w:tcW w:w="4231" w:type="dxa"/>
            <w:shd w:val="clear" w:color="auto" w:fill="auto"/>
          </w:tcPr>
          <w:p w:rsidR="006F39D1" w:rsidRPr="006F39D1" w:rsidRDefault="006F39D1" w:rsidP="006F39D1">
            <w:pPr>
              <w:rPr>
                <w:rFonts w:cs="Arial"/>
                <w:bCs/>
              </w:rPr>
            </w:pPr>
            <w:r w:rsidRPr="006F39D1">
              <w:rPr>
                <w:rFonts w:cs="Arial"/>
                <w:bCs/>
              </w:rPr>
              <w:t>Government claims/returns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F24DF2">
              <w:t>Financial Services</w:t>
            </w:r>
          </w:p>
        </w:tc>
        <w:tc>
          <w:tcPr>
            <w:tcW w:w="4231" w:type="dxa"/>
            <w:shd w:val="clear" w:color="auto" w:fill="auto"/>
          </w:tcPr>
          <w:p w:rsidR="006F39D1" w:rsidRPr="006F39D1" w:rsidRDefault="006F39D1" w:rsidP="006F39D1">
            <w:pPr>
              <w:rPr>
                <w:rFonts w:cs="Arial"/>
                <w:bCs/>
              </w:rPr>
            </w:pPr>
            <w:r w:rsidRPr="006F39D1">
              <w:rPr>
                <w:rFonts w:cs="Arial"/>
                <w:bCs/>
              </w:rPr>
              <w:t>Payments to suppliers</w:t>
            </w:r>
          </w:p>
        </w:tc>
        <w:tc>
          <w:tcPr>
            <w:tcW w:w="2187" w:type="dxa"/>
            <w:shd w:val="clear" w:color="auto" w:fill="auto"/>
          </w:tcPr>
          <w:p w:rsidR="006F39D1" w:rsidRPr="006F39D1" w:rsidRDefault="006F39D1" w:rsidP="006F39D1">
            <w:pPr>
              <w:rPr>
                <w:rFonts w:cs="Arial"/>
                <w:bCs/>
              </w:rPr>
            </w:pPr>
            <w:r w:rsidRPr="006F39D1">
              <w:rPr>
                <w:rFonts w:cs="Arial"/>
                <w:bCs/>
              </w:rPr>
              <w:t>Payments out, reputation</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F24DF2">
              <w:t>Financial Services</w:t>
            </w:r>
          </w:p>
        </w:tc>
        <w:tc>
          <w:tcPr>
            <w:tcW w:w="4231" w:type="dxa"/>
            <w:shd w:val="clear" w:color="auto" w:fill="auto"/>
          </w:tcPr>
          <w:p w:rsidR="006F39D1" w:rsidRPr="006F39D1" w:rsidRDefault="006F39D1" w:rsidP="006F39D1">
            <w:pPr>
              <w:rPr>
                <w:rFonts w:cs="Arial"/>
                <w:bCs/>
              </w:rPr>
            </w:pPr>
            <w:r w:rsidRPr="006F39D1">
              <w:rPr>
                <w:rFonts w:cs="Arial"/>
                <w:bCs/>
              </w:rPr>
              <w:t>Processing customer credits</w:t>
            </w:r>
          </w:p>
        </w:tc>
        <w:tc>
          <w:tcPr>
            <w:tcW w:w="2187" w:type="dxa"/>
            <w:shd w:val="clear" w:color="auto" w:fill="auto"/>
          </w:tcPr>
          <w:p w:rsidR="006F39D1" w:rsidRPr="006F39D1" w:rsidRDefault="006F39D1" w:rsidP="006F39D1">
            <w:pPr>
              <w:rPr>
                <w:rFonts w:cs="Arial"/>
                <w:bCs/>
              </w:rPr>
            </w:pPr>
            <w:r w:rsidRPr="006F39D1">
              <w:rPr>
                <w:rFonts w:cs="Arial"/>
                <w:bCs/>
              </w:rPr>
              <w:t>Money received</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F24DF2">
              <w:t>Financial Services</w:t>
            </w:r>
          </w:p>
        </w:tc>
        <w:tc>
          <w:tcPr>
            <w:tcW w:w="4231" w:type="dxa"/>
            <w:shd w:val="clear" w:color="auto" w:fill="auto"/>
          </w:tcPr>
          <w:p w:rsidR="006F39D1" w:rsidRPr="006F39D1" w:rsidRDefault="006F39D1" w:rsidP="006F39D1">
            <w:pPr>
              <w:rPr>
                <w:rFonts w:cs="Arial"/>
                <w:bCs/>
              </w:rPr>
            </w:pPr>
            <w:r w:rsidRPr="006F39D1">
              <w:rPr>
                <w:rFonts w:cs="Arial"/>
                <w:bCs/>
              </w:rPr>
              <w:t>Setting budget/Council Tax</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6F39D1">
              <w:rPr>
                <w:rFonts w:cs="Arial"/>
                <w:bCs/>
              </w:rPr>
              <w:t>Housing and Property</w:t>
            </w:r>
          </w:p>
        </w:tc>
        <w:tc>
          <w:tcPr>
            <w:tcW w:w="4231" w:type="dxa"/>
            <w:shd w:val="clear" w:color="auto" w:fill="auto"/>
          </w:tcPr>
          <w:p w:rsidR="006F39D1" w:rsidRPr="006F39D1" w:rsidRDefault="006F39D1" w:rsidP="006F39D1">
            <w:pPr>
              <w:rPr>
                <w:rFonts w:cs="Arial"/>
                <w:bCs/>
              </w:rPr>
            </w:pPr>
            <w:r w:rsidRPr="006F39D1">
              <w:rPr>
                <w:rFonts w:cs="Arial"/>
                <w:bCs/>
              </w:rPr>
              <w:t>Building maintenance</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6F39D1">
              <w:rPr>
                <w:rFonts w:cs="Arial"/>
                <w:bCs/>
              </w:rPr>
              <w:t>Housing and Property</w:t>
            </w:r>
          </w:p>
        </w:tc>
        <w:tc>
          <w:tcPr>
            <w:tcW w:w="4231" w:type="dxa"/>
            <w:shd w:val="clear" w:color="auto" w:fill="auto"/>
          </w:tcPr>
          <w:p w:rsidR="006F39D1" w:rsidRPr="006F39D1" w:rsidRDefault="006F39D1" w:rsidP="006F39D1">
            <w:pPr>
              <w:rPr>
                <w:rFonts w:cs="Arial"/>
                <w:bCs/>
              </w:rPr>
            </w:pPr>
            <w:r w:rsidRPr="006F39D1">
              <w:rPr>
                <w:rFonts w:cs="Arial"/>
                <w:bCs/>
              </w:rPr>
              <w:t>Equalities, community cohesion</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6F39D1">
              <w:rPr>
                <w:rFonts w:cs="Arial"/>
                <w:bCs/>
              </w:rPr>
              <w:t>Housing and Property</w:t>
            </w:r>
          </w:p>
        </w:tc>
        <w:tc>
          <w:tcPr>
            <w:tcW w:w="4231" w:type="dxa"/>
            <w:shd w:val="clear" w:color="auto" w:fill="auto"/>
          </w:tcPr>
          <w:p w:rsidR="006F39D1" w:rsidRPr="006F39D1" w:rsidRDefault="006F39D1" w:rsidP="006F39D1">
            <w:pPr>
              <w:rPr>
                <w:rFonts w:cs="Arial"/>
                <w:bCs/>
              </w:rPr>
            </w:pPr>
            <w:r w:rsidRPr="006F39D1">
              <w:rPr>
                <w:rFonts w:cs="Arial"/>
                <w:bCs/>
              </w:rPr>
              <w:t>Grants for voluntary/community groups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Housing and Property</w:t>
            </w:r>
          </w:p>
        </w:tc>
        <w:tc>
          <w:tcPr>
            <w:tcW w:w="4231" w:type="dxa"/>
            <w:shd w:val="clear" w:color="auto" w:fill="auto"/>
          </w:tcPr>
          <w:p w:rsidR="006F39D1" w:rsidRPr="006F39D1" w:rsidRDefault="006F39D1" w:rsidP="006F39D1">
            <w:pPr>
              <w:rPr>
                <w:rFonts w:cs="Arial"/>
                <w:bCs/>
              </w:rPr>
            </w:pPr>
            <w:r w:rsidRPr="006F39D1">
              <w:rPr>
                <w:rFonts w:cs="Arial"/>
                <w:bCs/>
              </w:rPr>
              <w:t>Handling requests for general purpose repairs</w:t>
            </w:r>
          </w:p>
        </w:tc>
        <w:tc>
          <w:tcPr>
            <w:tcW w:w="2187" w:type="dxa"/>
            <w:shd w:val="clear" w:color="auto" w:fill="auto"/>
          </w:tcPr>
          <w:p w:rsidR="006F39D1" w:rsidRPr="006F39D1" w:rsidRDefault="006F39D1" w:rsidP="006F39D1">
            <w:pPr>
              <w:rPr>
                <w:rFonts w:cs="Arial"/>
                <w:bCs/>
              </w:rPr>
            </w:pPr>
            <w:r w:rsidRPr="006F39D1">
              <w:rPr>
                <w:rFonts w:cs="Arial"/>
                <w:bCs/>
              </w:rPr>
              <w:t>Life, public health, money received</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Human Resources and Facilities Management</w:t>
            </w:r>
          </w:p>
        </w:tc>
        <w:tc>
          <w:tcPr>
            <w:tcW w:w="4231" w:type="dxa"/>
            <w:shd w:val="clear" w:color="auto" w:fill="auto"/>
          </w:tcPr>
          <w:p w:rsidR="006F39D1" w:rsidRPr="006F39D1" w:rsidRDefault="006F39D1" w:rsidP="006F39D1">
            <w:pPr>
              <w:rPr>
                <w:rFonts w:cs="Arial"/>
                <w:bCs/>
              </w:rPr>
            </w:pPr>
            <w:r w:rsidRPr="006F39D1">
              <w:rPr>
                <w:rFonts w:cs="Arial"/>
                <w:bCs/>
              </w:rPr>
              <w:t>Employment law compliance</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Human Resources and Facilities Management</w:t>
            </w:r>
          </w:p>
        </w:tc>
        <w:tc>
          <w:tcPr>
            <w:tcW w:w="4231" w:type="dxa"/>
            <w:shd w:val="clear" w:color="auto" w:fill="auto"/>
          </w:tcPr>
          <w:p w:rsidR="006F39D1" w:rsidRPr="006F39D1" w:rsidRDefault="006F39D1" w:rsidP="006F39D1">
            <w:pPr>
              <w:rPr>
                <w:rFonts w:cs="Arial"/>
                <w:bCs/>
              </w:rPr>
            </w:pPr>
            <w:r w:rsidRPr="006F39D1">
              <w:rPr>
                <w:rFonts w:cs="Arial"/>
                <w:bCs/>
              </w:rPr>
              <w:t>Handling of post</w:t>
            </w:r>
          </w:p>
        </w:tc>
        <w:tc>
          <w:tcPr>
            <w:tcW w:w="2187" w:type="dxa"/>
            <w:shd w:val="clear" w:color="auto" w:fill="auto"/>
          </w:tcPr>
          <w:p w:rsidR="006F39D1" w:rsidRPr="006F39D1" w:rsidRDefault="006F39D1" w:rsidP="006F39D1">
            <w:pPr>
              <w:rPr>
                <w:rFonts w:cs="Arial"/>
                <w:bCs/>
              </w:rPr>
            </w:pPr>
            <w:r w:rsidRPr="006F39D1">
              <w:rPr>
                <w:rFonts w:cs="Arial"/>
                <w:bCs/>
              </w:rPr>
              <w:t>Payments out, money received</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Human Resources and Facilities Management</w:t>
            </w:r>
          </w:p>
        </w:tc>
        <w:tc>
          <w:tcPr>
            <w:tcW w:w="4231" w:type="dxa"/>
            <w:shd w:val="clear" w:color="auto" w:fill="auto"/>
          </w:tcPr>
          <w:p w:rsidR="006F39D1" w:rsidRPr="006F39D1" w:rsidRDefault="006F39D1" w:rsidP="006F39D1">
            <w:pPr>
              <w:rPr>
                <w:rFonts w:cs="Arial"/>
                <w:bCs/>
              </w:rPr>
            </w:pPr>
            <w:r w:rsidRPr="006F39D1">
              <w:rPr>
                <w:rFonts w:cs="Arial"/>
                <w:bCs/>
              </w:rPr>
              <w:t>Payroll</w:t>
            </w:r>
          </w:p>
        </w:tc>
        <w:tc>
          <w:tcPr>
            <w:tcW w:w="2187" w:type="dxa"/>
            <w:shd w:val="clear" w:color="auto" w:fill="auto"/>
          </w:tcPr>
          <w:p w:rsidR="006F39D1" w:rsidRPr="006F39D1" w:rsidRDefault="006F39D1" w:rsidP="006F39D1">
            <w:pPr>
              <w:rPr>
                <w:rFonts w:cs="Arial"/>
                <w:bCs/>
              </w:rPr>
            </w:pPr>
            <w:r w:rsidRPr="006F39D1">
              <w:rPr>
                <w:rFonts w:cs="Arial"/>
                <w:bCs/>
              </w:rPr>
              <w:t>Payments out, reputation</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6F39D1">
              <w:rPr>
                <w:rFonts w:cs="Arial"/>
                <w:bCs/>
              </w:rPr>
              <w:t>Human Resources and Facilities Management</w:t>
            </w:r>
          </w:p>
        </w:tc>
        <w:tc>
          <w:tcPr>
            <w:tcW w:w="4231" w:type="dxa"/>
            <w:shd w:val="clear" w:color="auto" w:fill="auto"/>
          </w:tcPr>
          <w:p w:rsidR="006F39D1" w:rsidRPr="006F39D1" w:rsidRDefault="006F39D1" w:rsidP="006F39D1">
            <w:pPr>
              <w:rPr>
                <w:rFonts w:cs="Arial"/>
                <w:bCs/>
              </w:rPr>
            </w:pPr>
            <w:r w:rsidRPr="006F39D1">
              <w:rPr>
                <w:rFonts w:cs="Arial"/>
                <w:bCs/>
              </w:rPr>
              <w:t>Town Hall room hire and catering</w:t>
            </w:r>
          </w:p>
        </w:tc>
        <w:tc>
          <w:tcPr>
            <w:tcW w:w="2187" w:type="dxa"/>
            <w:shd w:val="clear" w:color="auto" w:fill="auto"/>
          </w:tcPr>
          <w:p w:rsidR="006F39D1" w:rsidRPr="006F39D1" w:rsidRDefault="006F39D1" w:rsidP="006F39D1">
            <w:pPr>
              <w:rPr>
                <w:rFonts w:cs="Arial"/>
                <w:bCs/>
              </w:rPr>
            </w:pPr>
            <w:r w:rsidRPr="006F39D1">
              <w:rPr>
                <w:rFonts w:cs="Arial"/>
                <w:bCs/>
              </w:rPr>
              <w:t>Money received, reputation</w:t>
            </w:r>
          </w:p>
        </w:tc>
      </w:tr>
      <w:tr w:rsidR="006F39D1" w:rsidRPr="006F39D1" w:rsidTr="00216682">
        <w:trPr>
          <w:trHeight w:val="255"/>
        </w:trPr>
        <w:tc>
          <w:tcPr>
            <w:tcW w:w="2738" w:type="dxa"/>
            <w:shd w:val="clear" w:color="auto" w:fill="auto"/>
          </w:tcPr>
          <w:p w:rsidR="006F39D1" w:rsidRPr="006F39D1" w:rsidRDefault="006F39D1" w:rsidP="006F39D1">
            <w:pPr>
              <w:rPr>
                <w:rFonts w:cs="Arial"/>
                <w:bCs/>
              </w:rPr>
            </w:pPr>
            <w:r w:rsidRPr="006F39D1">
              <w:rPr>
                <w:rFonts w:cs="Arial"/>
                <w:bCs/>
              </w:rPr>
              <w:t>Law and Governance (Legal)</w:t>
            </w:r>
          </w:p>
        </w:tc>
        <w:tc>
          <w:tcPr>
            <w:tcW w:w="4231" w:type="dxa"/>
            <w:shd w:val="clear" w:color="auto" w:fill="auto"/>
          </w:tcPr>
          <w:p w:rsidR="006F39D1" w:rsidRPr="006F39D1" w:rsidRDefault="006F39D1" w:rsidP="006F39D1">
            <w:pPr>
              <w:rPr>
                <w:rFonts w:cs="Arial"/>
                <w:bCs/>
              </w:rPr>
            </w:pPr>
            <w:r w:rsidRPr="006F39D1">
              <w:rPr>
                <w:rFonts w:cs="Arial"/>
                <w:bCs/>
              </w:rPr>
              <w:t>Advice to Licensing, Environmental Health &amp; other statutory functions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Leisure, Parks and Communities</w:t>
            </w:r>
          </w:p>
        </w:tc>
        <w:tc>
          <w:tcPr>
            <w:tcW w:w="4231" w:type="dxa"/>
            <w:shd w:val="clear" w:color="auto" w:fill="auto"/>
          </w:tcPr>
          <w:p w:rsidR="006F39D1" w:rsidRPr="006F39D1" w:rsidRDefault="006F39D1" w:rsidP="006F39D1">
            <w:pPr>
              <w:rPr>
                <w:rFonts w:cs="Arial"/>
                <w:bCs/>
              </w:rPr>
            </w:pPr>
            <w:r w:rsidRPr="006F39D1">
              <w:rPr>
                <w:rFonts w:cs="Arial"/>
                <w:bCs/>
              </w:rPr>
              <w:t>Cemetery management</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r w:rsidR="006F39D1" w:rsidRPr="006F39D1" w:rsidTr="00216682">
        <w:trPr>
          <w:trHeight w:val="510"/>
        </w:trPr>
        <w:tc>
          <w:tcPr>
            <w:tcW w:w="2738" w:type="dxa"/>
            <w:shd w:val="clear" w:color="auto" w:fill="auto"/>
          </w:tcPr>
          <w:p w:rsidR="006F39D1" w:rsidRPr="006F39D1" w:rsidRDefault="006F39D1" w:rsidP="006F39D1">
            <w:pPr>
              <w:rPr>
                <w:rFonts w:cs="Arial"/>
                <w:bCs/>
              </w:rPr>
            </w:pPr>
            <w:r w:rsidRPr="006F39D1">
              <w:rPr>
                <w:rFonts w:cs="Arial"/>
                <w:bCs/>
              </w:rPr>
              <w:t>Leisure, Parks and Communities</w:t>
            </w:r>
          </w:p>
        </w:tc>
        <w:tc>
          <w:tcPr>
            <w:tcW w:w="4231" w:type="dxa"/>
            <w:shd w:val="clear" w:color="auto" w:fill="auto"/>
          </w:tcPr>
          <w:p w:rsidR="006F39D1" w:rsidRPr="006F39D1" w:rsidRDefault="006F39D1" w:rsidP="006F39D1">
            <w:pPr>
              <w:rPr>
                <w:rFonts w:cs="Arial"/>
                <w:bCs/>
              </w:rPr>
            </w:pPr>
            <w:r w:rsidRPr="006F39D1">
              <w:rPr>
                <w:rFonts w:cs="Arial"/>
                <w:bCs/>
              </w:rPr>
              <w:t>Leisure centres</w:t>
            </w:r>
          </w:p>
        </w:tc>
        <w:tc>
          <w:tcPr>
            <w:tcW w:w="2187" w:type="dxa"/>
            <w:shd w:val="clear" w:color="auto" w:fill="auto"/>
          </w:tcPr>
          <w:p w:rsidR="006F39D1" w:rsidRPr="006F39D1" w:rsidRDefault="006F39D1" w:rsidP="006F39D1">
            <w:pPr>
              <w:rPr>
                <w:rFonts w:cs="Arial"/>
                <w:bCs/>
              </w:rPr>
            </w:pPr>
            <w:r w:rsidRPr="006F39D1">
              <w:rPr>
                <w:rFonts w:cs="Arial"/>
                <w:bCs/>
              </w:rPr>
              <w:t>Reputation</w:t>
            </w:r>
          </w:p>
        </w:tc>
      </w:tr>
    </w:tbl>
    <w:p w:rsidR="006F39D1" w:rsidRPr="006F39D1" w:rsidRDefault="006F39D1" w:rsidP="006F39D1">
      <w:pPr>
        <w:rPr>
          <w:rFonts w:cs="Arial"/>
          <w:bCs/>
        </w:rPr>
      </w:pPr>
    </w:p>
    <w:p w:rsidR="006F39D1" w:rsidRPr="006F39D1" w:rsidRDefault="006F39D1">
      <w:pPr>
        <w:rPr>
          <w:rFonts w:cs="Arial"/>
          <w:bCs/>
        </w:rPr>
      </w:pPr>
    </w:p>
    <w:sectPr w:rsidR="006F39D1" w:rsidRPr="006F39D1"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6C" w:rsidRDefault="008E066C">
      <w:r>
        <w:separator/>
      </w:r>
    </w:p>
  </w:endnote>
  <w:endnote w:type="continuationSeparator" w:id="0">
    <w:p w:rsidR="008E066C" w:rsidRDefault="008E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6C" w:rsidRDefault="008E066C">
      <w:r>
        <w:separator/>
      </w:r>
    </w:p>
  </w:footnote>
  <w:footnote w:type="continuationSeparator" w:id="0">
    <w:p w:rsidR="008E066C" w:rsidRDefault="008E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AACCD6D8"/>
    <w:lvl w:ilvl="0" w:tplc="0809000F">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5F418FC"/>
    <w:multiLevelType w:val="hybridMultilevel"/>
    <w:tmpl w:val="539261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BDF0ABD"/>
    <w:multiLevelType w:val="hybridMultilevel"/>
    <w:tmpl w:val="4AC4B2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nsid w:val="155D5676"/>
    <w:multiLevelType w:val="hybridMultilevel"/>
    <w:tmpl w:val="22707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3">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8">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1">
    <w:nsid w:val="47B53442"/>
    <w:multiLevelType w:val="hybridMultilevel"/>
    <w:tmpl w:val="EEE6A2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561B106A"/>
    <w:multiLevelType w:val="hybridMultilevel"/>
    <w:tmpl w:val="E912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5B29022C"/>
    <w:multiLevelType w:val="hybridMultilevel"/>
    <w:tmpl w:val="E124C8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C3C2AEE"/>
    <w:multiLevelType w:val="hybridMultilevel"/>
    <w:tmpl w:val="295C04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43274"/>
    <w:multiLevelType w:val="hybridMultilevel"/>
    <w:tmpl w:val="B8EC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5">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6">
    <w:nsid w:val="68C227C1"/>
    <w:multiLevelType w:val="hybridMultilevel"/>
    <w:tmpl w:val="E7C4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nsid w:val="742634BC"/>
    <w:multiLevelType w:val="hybridMultilevel"/>
    <w:tmpl w:val="B5CE0D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nsid w:val="7B9311FA"/>
    <w:multiLevelType w:val="hybridMultilevel"/>
    <w:tmpl w:val="D34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26"/>
  </w:num>
  <w:num w:numId="5">
    <w:abstractNumId w:val="24"/>
  </w:num>
  <w:num w:numId="6">
    <w:abstractNumId w:val="38"/>
  </w:num>
  <w:num w:numId="7">
    <w:abstractNumId w:val="19"/>
  </w:num>
  <w:num w:numId="8">
    <w:abstractNumId w:val="14"/>
  </w:num>
  <w:num w:numId="9">
    <w:abstractNumId w:val="1"/>
  </w:num>
  <w:num w:numId="10">
    <w:abstractNumId w:val="12"/>
  </w:num>
  <w:num w:numId="11">
    <w:abstractNumId w:val="34"/>
  </w:num>
  <w:num w:numId="12">
    <w:abstractNumId w:val="25"/>
  </w:num>
  <w:num w:numId="13">
    <w:abstractNumId w:val="37"/>
  </w:num>
  <w:num w:numId="14">
    <w:abstractNumId w:val="43"/>
  </w:num>
  <w:num w:numId="15">
    <w:abstractNumId w:val="22"/>
  </w:num>
  <w:num w:numId="16">
    <w:abstractNumId w:val="41"/>
  </w:num>
  <w:num w:numId="17">
    <w:abstractNumId w:val="39"/>
  </w:num>
  <w:num w:numId="18">
    <w:abstractNumId w:val="18"/>
  </w:num>
  <w:num w:numId="19">
    <w:abstractNumId w:val="28"/>
  </w:num>
  <w:num w:numId="20">
    <w:abstractNumId w:val="44"/>
  </w:num>
  <w:num w:numId="21">
    <w:abstractNumId w:val="7"/>
  </w:num>
  <w:num w:numId="22">
    <w:abstractNumId w:val="13"/>
  </w:num>
  <w:num w:numId="23">
    <w:abstractNumId w:val="17"/>
  </w:num>
  <w:num w:numId="24">
    <w:abstractNumId w:val="9"/>
  </w:num>
  <w:num w:numId="25">
    <w:abstractNumId w:val="35"/>
  </w:num>
  <w:num w:numId="26">
    <w:abstractNumId w:val="16"/>
  </w:num>
  <w:num w:numId="27">
    <w:abstractNumId w:val="40"/>
  </w:num>
  <w:num w:numId="28">
    <w:abstractNumId w:val="2"/>
  </w:num>
  <w:num w:numId="29">
    <w:abstractNumId w:val="15"/>
  </w:num>
  <w:num w:numId="30">
    <w:abstractNumId w:val="20"/>
  </w:num>
  <w:num w:numId="31">
    <w:abstractNumId w:val="5"/>
  </w:num>
  <w:num w:numId="32">
    <w:abstractNumId w:val="32"/>
  </w:num>
  <w:num w:numId="33">
    <w:abstractNumId w:val="23"/>
  </w:num>
  <w:num w:numId="34">
    <w:abstractNumId w:val="31"/>
  </w:num>
  <w:num w:numId="35">
    <w:abstractNumId w:val="8"/>
  </w:num>
  <w:num w:numId="36">
    <w:abstractNumId w:val="45"/>
  </w:num>
  <w:num w:numId="37">
    <w:abstractNumId w:val="6"/>
  </w:num>
  <w:num w:numId="38">
    <w:abstractNumId w:val="33"/>
  </w:num>
  <w:num w:numId="39">
    <w:abstractNumId w:val="36"/>
  </w:num>
  <w:num w:numId="40">
    <w:abstractNumId w:val="27"/>
  </w:num>
  <w:num w:numId="41">
    <w:abstractNumId w:val="21"/>
  </w:num>
  <w:num w:numId="42">
    <w:abstractNumId w:val="4"/>
  </w:num>
  <w:num w:numId="43">
    <w:abstractNumId w:val="30"/>
  </w:num>
  <w:num w:numId="44">
    <w:abstractNumId w:val="42"/>
  </w:num>
  <w:num w:numId="45">
    <w:abstractNumId w:val="3"/>
  </w:num>
  <w:num w:numId="46">
    <w:abstractNumId w:val="2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165BA"/>
    <w:rsid w:val="00020257"/>
    <w:rsid w:val="000209F8"/>
    <w:rsid w:val="000226F8"/>
    <w:rsid w:val="00022CD2"/>
    <w:rsid w:val="0003315D"/>
    <w:rsid w:val="00035147"/>
    <w:rsid w:val="000356A2"/>
    <w:rsid w:val="000359CD"/>
    <w:rsid w:val="00035A9B"/>
    <w:rsid w:val="00035D3E"/>
    <w:rsid w:val="000372FD"/>
    <w:rsid w:val="00037810"/>
    <w:rsid w:val="00041978"/>
    <w:rsid w:val="00044EED"/>
    <w:rsid w:val="000512FC"/>
    <w:rsid w:val="00056CEC"/>
    <w:rsid w:val="00061638"/>
    <w:rsid w:val="00064401"/>
    <w:rsid w:val="000656DC"/>
    <w:rsid w:val="000667D3"/>
    <w:rsid w:val="0007119E"/>
    <w:rsid w:val="000800A8"/>
    <w:rsid w:val="000817F5"/>
    <w:rsid w:val="000824E5"/>
    <w:rsid w:val="00083C8A"/>
    <w:rsid w:val="00083E8E"/>
    <w:rsid w:val="0009116E"/>
    <w:rsid w:val="00094258"/>
    <w:rsid w:val="000943BA"/>
    <w:rsid w:val="0009459B"/>
    <w:rsid w:val="00097027"/>
    <w:rsid w:val="000A1F5E"/>
    <w:rsid w:val="000A2EF0"/>
    <w:rsid w:val="000A470B"/>
    <w:rsid w:val="000A59AB"/>
    <w:rsid w:val="000A6248"/>
    <w:rsid w:val="000A6EFA"/>
    <w:rsid w:val="000B2944"/>
    <w:rsid w:val="000C3F41"/>
    <w:rsid w:val="000C3F42"/>
    <w:rsid w:val="000C5C80"/>
    <w:rsid w:val="000C5DA1"/>
    <w:rsid w:val="000C61B2"/>
    <w:rsid w:val="000C7E80"/>
    <w:rsid w:val="000E3982"/>
    <w:rsid w:val="000E3AD2"/>
    <w:rsid w:val="000E4872"/>
    <w:rsid w:val="000E6533"/>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4F1"/>
    <w:rsid w:val="001405B4"/>
    <w:rsid w:val="0014743B"/>
    <w:rsid w:val="001511AA"/>
    <w:rsid w:val="001552B1"/>
    <w:rsid w:val="001552CD"/>
    <w:rsid w:val="0015546D"/>
    <w:rsid w:val="00155B6E"/>
    <w:rsid w:val="00160A94"/>
    <w:rsid w:val="00161381"/>
    <w:rsid w:val="001662D8"/>
    <w:rsid w:val="00166F3F"/>
    <w:rsid w:val="00172CC0"/>
    <w:rsid w:val="00174204"/>
    <w:rsid w:val="0018188C"/>
    <w:rsid w:val="0018256B"/>
    <w:rsid w:val="00182BE8"/>
    <w:rsid w:val="0018663D"/>
    <w:rsid w:val="001918F7"/>
    <w:rsid w:val="001955EA"/>
    <w:rsid w:val="00196A57"/>
    <w:rsid w:val="001A0D94"/>
    <w:rsid w:val="001A38FB"/>
    <w:rsid w:val="001A59EF"/>
    <w:rsid w:val="001A6745"/>
    <w:rsid w:val="001A7428"/>
    <w:rsid w:val="001A773F"/>
    <w:rsid w:val="001B2C67"/>
    <w:rsid w:val="001B33FC"/>
    <w:rsid w:val="001B71A6"/>
    <w:rsid w:val="001C12BA"/>
    <w:rsid w:val="001C14DE"/>
    <w:rsid w:val="001C2C32"/>
    <w:rsid w:val="001C2C5C"/>
    <w:rsid w:val="001C5873"/>
    <w:rsid w:val="001D1A03"/>
    <w:rsid w:val="001D1CE1"/>
    <w:rsid w:val="001D52EF"/>
    <w:rsid w:val="001D7CD8"/>
    <w:rsid w:val="001E7A5E"/>
    <w:rsid w:val="001F236C"/>
    <w:rsid w:val="001F3827"/>
    <w:rsid w:val="001F3FA7"/>
    <w:rsid w:val="00200CC5"/>
    <w:rsid w:val="00202FCB"/>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35C47"/>
    <w:rsid w:val="00240250"/>
    <w:rsid w:val="00240A01"/>
    <w:rsid w:val="002461BE"/>
    <w:rsid w:val="00250649"/>
    <w:rsid w:val="00253880"/>
    <w:rsid w:val="00260B0E"/>
    <w:rsid w:val="00263649"/>
    <w:rsid w:val="00265840"/>
    <w:rsid w:val="0026668B"/>
    <w:rsid w:val="00266C36"/>
    <w:rsid w:val="002730E7"/>
    <w:rsid w:val="00274856"/>
    <w:rsid w:val="00283734"/>
    <w:rsid w:val="002853B4"/>
    <w:rsid w:val="0028751D"/>
    <w:rsid w:val="002913F5"/>
    <w:rsid w:val="00292826"/>
    <w:rsid w:val="0029355E"/>
    <w:rsid w:val="00293CF3"/>
    <w:rsid w:val="00294C46"/>
    <w:rsid w:val="002963E4"/>
    <w:rsid w:val="002A465B"/>
    <w:rsid w:val="002A79C0"/>
    <w:rsid w:val="002B0D6C"/>
    <w:rsid w:val="002B0EBA"/>
    <w:rsid w:val="002B1B9E"/>
    <w:rsid w:val="002B3272"/>
    <w:rsid w:val="002B3F3D"/>
    <w:rsid w:val="002B79FC"/>
    <w:rsid w:val="002C35AB"/>
    <w:rsid w:val="002D02EC"/>
    <w:rsid w:val="002D0CDF"/>
    <w:rsid w:val="002D3219"/>
    <w:rsid w:val="002D3856"/>
    <w:rsid w:val="002D6A28"/>
    <w:rsid w:val="002E2A7E"/>
    <w:rsid w:val="002E53AD"/>
    <w:rsid w:val="002E6E1B"/>
    <w:rsid w:val="002E7245"/>
    <w:rsid w:val="002E7B2E"/>
    <w:rsid w:val="002F058F"/>
    <w:rsid w:val="002F1875"/>
    <w:rsid w:val="002F40E8"/>
    <w:rsid w:val="002F7B75"/>
    <w:rsid w:val="00301A84"/>
    <w:rsid w:val="003072AE"/>
    <w:rsid w:val="00312170"/>
    <w:rsid w:val="00315362"/>
    <w:rsid w:val="0032749E"/>
    <w:rsid w:val="00330299"/>
    <w:rsid w:val="00330BE7"/>
    <w:rsid w:val="00332507"/>
    <w:rsid w:val="003325B6"/>
    <w:rsid w:val="0033385A"/>
    <w:rsid w:val="0033503E"/>
    <w:rsid w:val="00335660"/>
    <w:rsid w:val="00340E16"/>
    <w:rsid w:val="00346F4A"/>
    <w:rsid w:val="003473B2"/>
    <w:rsid w:val="00347697"/>
    <w:rsid w:val="00350047"/>
    <w:rsid w:val="0035020F"/>
    <w:rsid w:val="0035126E"/>
    <w:rsid w:val="0035451F"/>
    <w:rsid w:val="00354C82"/>
    <w:rsid w:val="00356672"/>
    <w:rsid w:val="00357136"/>
    <w:rsid w:val="003605D7"/>
    <w:rsid w:val="00362BDE"/>
    <w:rsid w:val="00372049"/>
    <w:rsid w:val="003725E4"/>
    <w:rsid w:val="0037288A"/>
    <w:rsid w:val="003741D2"/>
    <w:rsid w:val="00375905"/>
    <w:rsid w:val="00376B3F"/>
    <w:rsid w:val="00377013"/>
    <w:rsid w:val="00384F1A"/>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401946"/>
    <w:rsid w:val="00402EA9"/>
    <w:rsid w:val="004036A7"/>
    <w:rsid w:val="00411114"/>
    <w:rsid w:val="00413E26"/>
    <w:rsid w:val="00416F5F"/>
    <w:rsid w:val="00417135"/>
    <w:rsid w:val="00421CD7"/>
    <w:rsid w:val="004258ED"/>
    <w:rsid w:val="00425F2A"/>
    <w:rsid w:val="004331BA"/>
    <w:rsid w:val="004346DB"/>
    <w:rsid w:val="00435C74"/>
    <w:rsid w:val="00444E8B"/>
    <w:rsid w:val="00445174"/>
    <w:rsid w:val="004462E2"/>
    <w:rsid w:val="004463C3"/>
    <w:rsid w:val="00447196"/>
    <w:rsid w:val="004504AB"/>
    <w:rsid w:val="0045464F"/>
    <w:rsid w:val="00454796"/>
    <w:rsid w:val="004563C8"/>
    <w:rsid w:val="0045677C"/>
    <w:rsid w:val="00463DCF"/>
    <w:rsid w:val="00463E24"/>
    <w:rsid w:val="004651DF"/>
    <w:rsid w:val="00472F74"/>
    <w:rsid w:val="004735DB"/>
    <w:rsid w:val="0047431D"/>
    <w:rsid w:val="00474485"/>
    <w:rsid w:val="00474C82"/>
    <w:rsid w:val="00475F85"/>
    <w:rsid w:val="00476513"/>
    <w:rsid w:val="0047796B"/>
    <w:rsid w:val="004828D3"/>
    <w:rsid w:val="00486412"/>
    <w:rsid w:val="00491160"/>
    <w:rsid w:val="0049146A"/>
    <w:rsid w:val="004935F2"/>
    <w:rsid w:val="00493B65"/>
    <w:rsid w:val="00494C51"/>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8CE"/>
    <w:rsid w:val="004C0AA4"/>
    <w:rsid w:val="004C0C0E"/>
    <w:rsid w:val="004C43DE"/>
    <w:rsid w:val="004D034A"/>
    <w:rsid w:val="004D0D07"/>
    <w:rsid w:val="004D33D0"/>
    <w:rsid w:val="004D4BC9"/>
    <w:rsid w:val="004D67CD"/>
    <w:rsid w:val="004E0B74"/>
    <w:rsid w:val="004F74DE"/>
    <w:rsid w:val="004F7B45"/>
    <w:rsid w:val="005044C6"/>
    <w:rsid w:val="00504B67"/>
    <w:rsid w:val="00505AC7"/>
    <w:rsid w:val="005064F0"/>
    <w:rsid w:val="00507029"/>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969"/>
    <w:rsid w:val="00533B94"/>
    <w:rsid w:val="00533FD2"/>
    <w:rsid w:val="00536C64"/>
    <w:rsid w:val="005414A6"/>
    <w:rsid w:val="00541DC1"/>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3B45"/>
    <w:rsid w:val="005905C2"/>
    <w:rsid w:val="005910AD"/>
    <w:rsid w:val="005917AE"/>
    <w:rsid w:val="005925B6"/>
    <w:rsid w:val="005976C4"/>
    <w:rsid w:val="005A17F5"/>
    <w:rsid w:val="005A38B3"/>
    <w:rsid w:val="005A5825"/>
    <w:rsid w:val="005A5B9F"/>
    <w:rsid w:val="005A664C"/>
    <w:rsid w:val="005B0232"/>
    <w:rsid w:val="005B1F5F"/>
    <w:rsid w:val="005B2AF6"/>
    <w:rsid w:val="005B360C"/>
    <w:rsid w:val="005B3C80"/>
    <w:rsid w:val="005B6F0C"/>
    <w:rsid w:val="005C113A"/>
    <w:rsid w:val="005C4131"/>
    <w:rsid w:val="005D33C2"/>
    <w:rsid w:val="005D3F27"/>
    <w:rsid w:val="005D44A4"/>
    <w:rsid w:val="005D4C4D"/>
    <w:rsid w:val="005D546F"/>
    <w:rsid w:val="005D6148"/>
    <w:rsid w:val="005D6C51"/>
    <w:rsid w:val="005D6DCA"/>
    <w:rsid w:val="005E0A67"/>
    <w:rsid w:val="005E0B00"/>
    <w:rsid w:val="005E7711"/>
    <w:rsid w:val="005F14EF"/>
    <w:rsid w:val="005F174D"/>
    <w:rsid w:val="005F4140"/>
    <w:rsid w:val="005F7D21"/>
    <w:rsid w:val="0060084B"/>
    <w:rsid w:val="00600995"/>
    <w:rsid w:val="00601057"/>
    <w:rsid w:val="00603981"/>
    <w:rsid w:val="00603BED"/>
    <w:rsid w:val="00603E8E"/>
    <w:rsid w:val="00607866"/>
    <w:rsid w:val="0061079E"/>
    <w:rsid w:val="00612AFA"/>
    <w:rsid w:val="0061340A"/>
    <w:rsid w:val="00613D43"/>
    <w:rsid w:val="006173D8"/>
    <w:rsid w:val="00621B9B"/>
    <w:rsid w:val="006251C1"/>
    <w:rsid w:val="00630917"/>
    <w:rsid w:val="0063166B"/>
    <w:rsid w:val="00632B72"/>
    <w:rsid w:val="00634051"/>
    <w:rsid w:val="00635911"/>
    <w:rsid w:val="00637BA2"/>
    <w:rsid w:val="00644FE8"/>
    <w:rsid w:val="006454CD"/>
    <w:rsid w:val="00646F10"/>
    <w:rsid w:val="0065305B"/>
    <w:rsid w:val="00654A79"/>
    <w:rsid w:val="00656E91"/>
    <w:rsid w:val="00662A0F"/>
    <w:rsid w:val="00670340"/>
    <w:rsid w:val="00675C69"/>
    <w:rsid w:val="00676008"/>
    <w:rsid w:val="00676B7F"/>
    <w:rsid w:val="00677B45"/>
    <w:rsid w:val="00682D25"/>
    <w:rsid w:val="0068485E"/>
    <w:rsid w:val="00687F6F"/>
    <w:rsid w:val="0069059C"/>
    <w:rsid w:val="006915FD"/>
    <w:rsid w:val="00691981"/>
    <w:rsid w:val="0069250F"/>
    <w:rsid w:val="00692CAE"/>
    <w:rsid w:val="00693ED6"/>
    <w:rsid w:val="006944FC"/>
    <w:rsid w:val="00697879"/>
    <w:rsid w:val="006A47DD"/>
    <w:rsid w:val="006A5B5A"/>
    <w:rsid w:val="006A651A"/>
    <w:rsid w:val="006A69C2"/>
    <w:rsid w:val="006B2096"/>
    <w:rsid w:val="006B32FB"/>
    <w:rsid w:val="006C24A9"/>
    <w:rsid w:val="006C7363"/>
    <w:rsid w:val="006D13DC"/>
    <w:rsid w:val="006D20BA"/>
    <w:rsid w:val="006D2DD3"/>
    <w:rsid w:val="006D645E"/>
    <w:rsid w:val="006D7D0D"/>
    <w:rsid w:val="006E0AC6"/>
    <w:rsid w:val="006E1B35"/>
    <w:rsid w:val="006E1B5A"/>
    <w:rsid w:val="006E1BC3"/>
    <w:rsid w:val="006E2570"/>
    <w:rsid w:val="006E36F3"/>
    <w:rsid w:val="006E3831"/>
    <w:rsid w:val="006E44BB"/>
    <w:rsid w:val="006E5DE8"/>
    <w:rsid w:val="006E67C4"/>
    <w:rsid w:val="006F3808"/>
    <w:rsid w:val="006F39D1"/>
    <w:rsid w:val="006F4BA2"/>
    <w:rsid w:val="006F5910"/>
    <w:rsid w:val="00701296"/>
    <w:rsid w:val="00701D7D"/>
    <w:rsid w:val="00704730"/>
    <w:rsid w:val="007053CF"/>
    <w:rsid w:val="00706224"/>
    <w:rsid w:val="00706CF4"/>
    <w:rsid w:val="007070D0"/>
    <w:rsid w:val="00710466"/>
    <w:rsid w:val="00710A17"/>
    <w:rsid w:val="007137F7"/>
    <w:rsid w:val="00714894"/>
    <w:rsid w:val="007154CE"/>
    <w:rsid w:val="0072307E"/>
    <w:rsid w:val="0072591D"/>
    <w:rsid w:val="00725F26"/>
    <w:rsid w:val="00727179"/>
    <w:rsid w:val="00727ED1"/>
    <w:rsid w:val="0073278E"/>
    <w:rsid w:val="00740F03"/>
    <w:rsid w:val="00741810"/>
    <w:rsid w:val="00741EFA"/>
    <w:rsid w:val="007427D4"/>
    <w:rsid w:val="00752C6B"/>
    <w:rsid w:val="007607D5"/>
    <w:rsid w:val="00760922"/>
    <w:rsid w:val="007627A8"/>
    <w:rsid w:val="00764079"/>
    <w:rsid w:val="00766998"/>
    <w:rsid w:val="00767EDD"/>
    <w:rsid w:val="0077104B"/>
    <w:rsid w:val="00771F55"/>
    <w:rsid w:val="00773961"/>
    <w:rsid w:val="0077438A"/>
    <w:rsid w:val="0077440D"/>
    <w:rsid w:val="00774644"/>
    <w:rsid w:val="00775A30"/>
    <w:rsid w:val="00777F68"/>
    <w:rsid w:val="00777FC6"/>
    <w:rsid w:val="0078409C"/>
    <w:rsid w:val="007A68B2"/>
    <w:rsid w:val="007B314C"/>
    <w:rsid w:val="007B753F"/>
    <w:rsid w:val="007C1DC6"/>
    <w:rsid w:val="007C6046"/>
    <w:rsid w:val="007C63CC"/>
    <w:rsid w:val="007D13DA"/>
    <w:rsid w:val="007D331D"/>
    <w:rsid w:val="007D33FE"/>
    <w:rsid w:val="007E1B08"/>
    <w:rsid w:val="007E4211"/>
    <w:rsid w:val="007E61CA"/>
    <w:rsid w:val="007F1631"/>
    <w:rsid w:val="007F3944"/>
    <w:rsid w:val="007F5272"/>
    <w:rsid w:val="007F5BF2"/>
    <w:rsid w:val="007F6BF9"/>
    <w:rsid w:val="007F6E5E"/>
    <w:rsid w:val="007F76F2"/>
    <w:rsid w:val="0080618D"/>
    <w:rsid w:val="00811D8A"/>
    <w:rsid w:val="0081298E"/>
    <w:rsid w:val="00814BB4"/>
    <w:rsid w:val="00815488"/>
    <w:rsid w:val="00815E85"/>
    <w:rsid w:val="00821EB6"/>
    <w:rsid w:val="00822013"/>
    <w:rsid w:val="0082449A"/>
    <w:rsid w:val="00824A81"/>
    <w:rsid w:val="008306D4"/>
    <w:rsid w:val="008346CA"/>
    <w:rsid w:val="00834BCC"/>
    <w:rsid w:val="00835AFC"/>
    <w:rsid w:val="0083795F"/>
    <w:rsid w:val="0084035D"/>
    <w:rsid w:val="008450D2"/>
    <w:rsid w:val="008455D5"/>
    <w:rsid w:val="008468E4"/>
    <w:rsid w:val="00846DC5"/>
    <w:rsid w:val="008503F9"/>
    <w:rsid w:val="00850A81"/>
    <w:rsid w:val="00851BB4"/>
    <w:rsid w:val="008520F0"/>
    <w:rsid w:val="0085475D"/>
    <w:rsid w:val="00855B96"/>
    <w:rsid w:val="008655D5"/>
    <w:rsid w:val="00867F2F"/>
    <w:rsid w:val="00871681"/>
    <w:rsid w:val="008730D8"/>
    <w:rsid w:val="0087523F"/>
    <w:rsid w:val="00877246"/>
    <w:rsid w:val="00877A3D"/>
    <w:rsid w:val="0088314C"/>
    <w:rsid w:val="0088406C"/>
    <w:rsid w:val="00885D91"/>
    <w:rsid w:val="008919F7"/>
    <w:rsid w:val="00891DC1"/>
    <w:rsid w:val="00895AE4"/>
    <w:rsid w:val="00896ADF"/>
    <w:rsid w:val="008979AF"/>
    <w:rsid w:val="008A4353"/>
    <w:rsid w:val="008A7BD9"/>
    <w:rsid w:val="008B286F"/>
    <w:rsid w:val="008B29A7"/>
    <w:rsid w:val="008C1A0F"/>
    <w:rsid w:val="008C1BB8"/>
    <w:rsid w:val="008C526A"/>
    <w:rsid w:val="008C5C1C"/>
    <w:rsid w:val="008C662A"/>
    <w:rsid w:val="008D3203"/>
    <w:rsid w:val="008D615C"/>
    <w:rsid w:val="008D6AAC"/>
    <w:rsid w:val="008E001F"/>
    <w:rsid w:val="008E066C"/>
    <w:rsid w:val="008E09D0"/>
    <w:rsid w:val="008E1145"/>
    <w:rsid w:val="008E285A"/>
    <w:rsid w:val="008E5A73"/>
    <w:rsid w:val="008F289B"/>
    <w:rsid w:val="008F2A4E"/>
    <w:rsid w:val="008F4DA3"/>
    <w:rsid w:val="008F67EF"/>
    <w:rsid w:val="008F6ADE"/>
    <w:rsid w:val="008F7B19"/>
    <w:rsid w:val="00900C7F"/>
    <w:rsid w:val="00903458"/>
    <w:rsid w:val="00903C3C"/>
    <w:rsid w:val="0090420B"/>
    <w:rsid w:val="009051BE"/>
    <w:rsid w:val="00910CFB"/>
    <w:rsid w:val="0091176F"/>
    <w:rsid w:val="00912361"/>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38B4"/>
    <w:rsid w:val="0096047C"/>
    <w:rsid w:val="009620A8"/>
    <w:rsid w:val="0096633B"/>
    <w:rsid w:val="00966BBE"/>
    <w:rsid w:val="0096749E"/>
    <w:rsid w:val="00971E0D"/>
    <w:rsid w:val="009723ED"/>
    <w:rsid w:val="00972FEF"/>
    <w:rsid w:val="00975552"/>
    <w:rsid w:val="00976E30"/>
    <w:rsid w:val="0098273F"/>
    <w:rsid w:val="00986C1F"/>
    <w:rsid w:val="009878B0"/>
    <w:rsid w:val="00993A4E"/>
    <w:rsid w:val="00995E4A"/>
    <w:rsid w:val="00996DF6"/>
    <w:rsid w:val="009A2E92"/>
    <w:rsid w:val="009B17D6"/>
    <w:rsid w:val="009B2610"/>
    <w:rsid w:val="009B2ED0"/>
    <w:rsid w:val="009B3D3E"/>
    <w:rsid w:val="009B5A72"/>
    <w:rsid w:val="009C004C"/>
    <w:rsid w:val="009C12C9"/>
    <w:rsid w:val="009C4401"/>
    <w:rsid w:val="009C493A"/>
    <w:rsid w:val="009C5BBB"/>
    <w:rsid w:val="009D1B9C"/>
    <w:rsid w:val="009D24DB"/>
    <w:rsid w:val="009D3912"/>
    <w:rsid w:val="009D3FFE"/>
    <w:rsid w:val="009D6722"/>
    <w:rsid w:val="009D7937"/>
    <w:rsid w:val="009E0956"/>
    <w:rsid w:val="009E0A5A"/>
    <w:rsid w:val="009E34F6"/>
    <w:rsid w:val="009E3CF2"/>
    <w:rsid w:val="009E68A1"/>
    <w:rsid w:val="009E6D5E"/>
    <w:rsid w:val="009F5A9F"/>
    <w:rsid w:val="009F6875"/>
    <w:rsid w:val="009F6D40"/>
    <w:rsid w:val="00A01542"/>
    <w:rsid w:val="00A01D6B"/>
    <w:rsid w:val="00A01F57"/>
    <w:rsid w:val="00A02990"/>
    <w:rsid w:val="00A03ABB"/>
    <w:rsid w:val="00A04E24"/>
    <w:rsid w:val="00A06DE4"/>
    <w:rsid w:val="00A10B89"/>
    <w:rsid w:val="00A125AF"/>
    <w:rsid w:val="00A20074"/>
    <w:rsid w:val="00A21178"/>
    <w:rsid w:val="00A21C28"/>
    <w:rsid w:val="00A24256"/>
    <w:rsid w:val="00A27069"/>
    <w:rsid w:val="00A32774"/>
    <w:rsid w:val="00A32A7B"/>
    <w:rsid w:val="00A3538B"/>
    <w:rsid w:val="00A3600C"/>
    <w:rsid w:val="00A36D0D"/>
    <w:rsid w:val="00A4088F"/>
    <w:rsid w:val="00A40943"/>
    <w:rsid w:val="00A4396F"/>
    <w:rsid w:val="00A45D10"/>
    <w:rsid w:val="00A47911"/>
    <w:rsid w:val="00A47CCA"/>
    <w:rsid w:val="00A50E23"/>
    <w:rsid w:val="00A51044"/>
    <w:rsid w:val="00A54119"/>
    <w:rsid w:val="00A548E1"/>
    <w:rsid w:val="00A566D4"/>
    <w:rsid w:val="00A60507"/>
    <w:rsid w:val="00A617AE"/>
    <w:rsid w:val="00A65250"/>
    <w:rsid w:val="00A72960"/>
    <w:rsid w:val="00A747AF"/>
    <w:rsid w:val="00A7570E"/>
    <w:rsid w:val="00A75747"/>
    <w:rsid w:val="00A765CE"/>
    <w:rsid w:val="00A77C53"/>
    <w:rsid w:val="00A80CBD"/>
    <w:rsid w:val="00A8286B"/>
    <w:rsid w:val="00A840F5"/>
    <w:rsid w:val="00A87892"/>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02"/>
    <w:rsid w:val="00AD0F68"/>
    <w:rsid w:val="00AD149C"/>
    <w:rsid w:val="00AD3823"/>
    <w:rsid w:val="00AD6B0C"/>
    <w:rsid w:val="00AE0538"/>
    <w:rsid w:val="00AE08A9"/>
    <w:rsid w:val="00AE12E9"/>
    <w:rsid w:val="00AE1E8F"/>
    <w:rsid w:val="00AE7A4F"/>
    <w:rsid w:val="00AF08EC"/>
    <w:rsid w:val="00AF5A15"/>
    <w:rsid w:val="00AF7455"/>
    <w:rsid w:val="00AF79B7"/>
    <w:rsid w:val="00B05FE6"/>
    <w:rsid w:val="00B10289"/>
    <w:rsid w:val="00B10960"/>
    <w:rsid w:val="00B10A93"/>
    <w:rsid w:val="00B10F8A"/>
    <w:rsid w:val="00B11021"/>
    <w:rsid w:val="00B1379A"/>
    <w:rsid w:val="00B1424E"/>
    <w:rsid w:val="00B17A5F"/>
    <w:rsid w:val="00B17BB1"/>
    <w:rsid w:val="00B227BD"/>
    <w:rsid w:val="00B23FD9"/>
    <w:rsid w:val="00B25DD0"/>
    <w:rsid w:val="00B318DD"/>
    <w:rsid w:val="00B35A8C"/>
    <w:rsid w:val="00B35F74"/>
    <w:rsid w:val="00B4694E"/>
    <w:rsid w:val="00B47371"/>
    <w:rsid w:val="00B4776F"/>
    <w:rsid w:val="00B50F81"/>
    <w:rsid w:val="00B51B7C"/>
    <w:rsid w:val="00B53055"/>
    <w:rsid w:val="00B5477F"/>
    <w:rsid w:val="00B5509D"/>
    <w:rsid w:val="00B60D6F"/>
    <w:rsid w:val="00B647CA"/>
    <w:rsid w:val="00B64C35"/>
    <w:rsid w:val="00B72E67"/>
    <w:rsid w:val="00B72FD0"/>
    <w:rsid w:val="00B73F00"/>
    <w:rsid w:val="00B7705C"/>
    <w:rsid w:val="00B77C83"/>
    <w:rsid w:val="00B80F0F"/>
    <w:rsid w:val="00B822CF"/>
    <w:rsid w:val="00B8308C"/>
    <w:rsid w:val="00B84406"/>
    <w:rsid w:val="00B8588B"/>
    <w:rsid w:val="00B86D66"/>
    <w:rsid w:val="00B876E7"/>
    <w:rsid w:val="00B92D4E"/>
    <w:rsid w:val="00B93406"/>
    <w:rsid w:val="00B949C8"/>
    <w:rsid w:val="00B94A04"/>
    <w:rsid w:val="00BA0E6F"/>
    <w:rsid w:val="00BA1074"/>
    <w:rsid w:val="00BA2714"/>
    <w:rsid w:val="00BA2E9D"/>
    <w:rsid w:val="00BA385D"/>
    <w:rsid w:val="00BA565A"/>
    <w:rsid w:val="00BB69D8"/>
    <w:rsid w:val="00BB77BA"/>
    <w:rsid w:val="00BB7C03"/>
    <w:rsid w:val="00BC10D1"/>
    <w:rsid w:val="00BC3C81"/>
    <w:rsid w:val="00BC4F0A"/>
    <w:rsid w:val="00BC5060"/>
    <w:rsid w:val="00BC6B51"/>
    <w:rsid w:val="00BC75F6"/>
    <w:rsid w:val="00BD08D7"/>
    <w:rsid w:val="00BD0C4A"/>
    <w:rsid w:val="00BD2CF5"/>
    <w:rsid w:val="00BD2F94"/>
    <w:rsid w:val="00BD3B30"/>
    <w:rsid w:val="00BD4A81"/>
    <w:rsid w:val="00BD668C"/>
    <w:rsid w:val="00BD7D8B"/>
    <w:rsid w:val="00BE03C0"/>
    <w:rsid w:val="00BE0411"/>
    <w:rsid w:val="00BE052E"/>
    <w:rsid w:val="00BE6C6D"/>
    <w:rsid w:val="00BF0264"/>
    <w:rsid w:val="00BF2C68"/>
    <w:rsid w:val="00BF345E"/>
    <w:rsid w:val="00BF5570"/>
    <w:rsid w:val="00C0207D"/>
    <w:rsid w:val="00C04168"/>
    <w:rsid w:val="00C042C7"/>
    <w:rsid w:val="00C045D2"/>
    <w:rsid w:val="00C05488"/>
    <w:rsid w:val="00C05AEE"/>
    <w:rsid w:val="00C10CA3"/>
    <w:rsid w:val="00C134E2"/>
    <w:rsid w:val="00C1367B"/>
    <w:rsid w:val="00C13FA7"/>
    <w:rsid w:val="00C16F35"/>
    <w:rsid w:val="00C170ED"/>
    <w:rsid w:val="00C21B6C"/>
    <w:rsid w:val="00C23BDA"/>
    <w:rsid w:val="00C26D2B"/>
    <w:rsid w:val="00C311F3"/>
    <w:rsid w:val="00C3282B"/>
    <w:rsid w:val="00C33552"/>
    <w:rsid w:val="00C33662"/>
    <w:rsid w:val="00C336E7"/>
    <w:rsid w:val="00C346DC"/>
    <w:rsid w:val="00C37BCB"/>
    <w:rsid w:val="00C40145"/>
    <w:rsid w:val="00C40556"/>
    <w:rsid w:val="00C44636"/>
    <w:rsid w:val="00C46D75"/>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911F2"/>
    <w:rsid w:val="00C93AF4"/>
    <w:rsid w:val="00C93F91"/>
    <w:rsid w:val="00C94258"/>
    <w:rsid w:val="00C9523E"/>
    <w:rsid w:val="00C95B34"/>
    <w:rsid w:val="00C95F06"/>
    <w:rsid w:val="00C9711C"/>
    <w:rsid w:val="00CA1188"/>
    <w:rsid w:val="00CA1732"/>
    <w:rsid w:val="00CA2DFA"/>
    <w:rsid w:val="00CA3AC5"/>
    <w:rsid w:val="00CA7E5E"/>
    <w:rsid w:val="00CB09C1"/>
    <w:rsid w:val="00CB0A60"/>
    <w:rsid w:val="00CB1A6F"/>
    <w:rsid w:val="00CB1DA6"/>
    <w:rsid w:val="00CB5086"/>
    <w:rsid w:val="00CB5642"/>
    <w:rsid w:val="00CB6B73"/>
    <w:rsid w:val="00CC1BAC"/>
    <w:rsid w:val="00CC2F8A"/>
    <w:rsid w:val="00CC37F9"/>
    <w:rsid w:val="00CC3908"/>
    <w:rsid w:val="00CC5782"/>
    <w:rsid w:val="00CC6318"/>
    <w:rsid w:val="00CD0532"/>
    <w:rsid w:val="00CD3380"/>
    <w:rsid w:val="00CD3C50"/>
    <w:rsid w:val="00CD4C5D"/>
    <w:rsid w:val="00CD51DA"/>
    <w:rsid w:val="00CD7485"/>
    <w:rsid w:val="00CE3DFC"/>
    <w:rsid w:val="00CE493A"/>
    <w:rsid w:val="00CE5596"/>
    <w:rsid w:val="00CF6B23"/>
    <w:rsid w:val="00CF6FA6"/>
    <w:rsid w:val="00CF78C5"/>
    <w:rsid w:val="00D0190E"/>
    <w:rsid w:val="00D07007"/>
    <w:rsid w:val="00D1078F"/>
    <w:rsid w:val="00D23339"/>
    <w:rsid w:val="00D23B19"/>
    <w:rsid w:val="00D24E43"/>
    <w:rsid w:val="00D30906"/>
    <w:rsid w:val="00D3115F"/>
    <w:rsid w:val="00D324EB"/>
    <w:rsid w:val="00D327A9"/>
    <w:rsid w:val="00D3500F"/>
    <w:rsid w:val="00D407AF"/>
    <w:rsid w:val="00D424B6"/>
    <w:rsid w:val="00D44004"/>
    <w:rsid w:val="00D44679"/>
    <w:rsid w:val="00D46E89"/>
    <w:rsid w:val="00D5019E"/>
    <w:rsid w:val="00D52515"/>
    <w:rsid w:val="00D52D74"/>
    <w:rsid w:val="00D54FA9"/>
    <w:rsid w:val="00D555A4"/>
    <w:rsid w:val="00D55B7F"/>
    <w:rsid w:val="00D57952"/>
    <w:rsid w:val="00D60224"/>
    <w:rsid w:val="00D73706"/>
    <w:rsid w:val="00D74C9D"/>
    <w:rsid w:val="00D7540A"/>
    <w:rsid w:val="00D75E4E"/>
    <w:rsid w:val="00D84446"/>
    <w:rsid w:val="00D90D6C"/>
    <w:rsid w:val="00DA0D01"/>
    <w:rsid w:val="00DA2561"/>
    <w:rsid w:val="00DA67C6"/>
    <w:rsid w:val="00DA7454"/>
    <w:rsid w:val="00DB3198"/>
    <w:rsid w:val="00DB47F9"/>
    <w:rsid w:val="00DB6773"/>
    <w:rsid w:val="00DC1D23"/>
    <w:rsid w:val="00DC4CD4"/>
    <w:rsid w:val="00DC7F06"/>
    <w:rsid w:val="00DC7F39"/>
    <w:rsid w:val="00DD2A1D"/>
    <w:rsid w:val="00DD64C0"/>
    <w:rsid w:val="00DD7187"/>
    <w:rsid w:val="00DE11B2"/>
    <w:rsid w:val="00DE43A1"/>
    <w:rsid w:val="00DE45FB"/>
    <w:rsid w:val="00DE5CF6"/>
    <w:rsid w:val="00DE6018"/>
    <w:rsid w:val="00DE642A"/>
    <w:rsid w:val="00DE6771"/>
    <w:rsid w:val="00DF0561"/>
    <w:rsid w:val="00DF0BD7"/>
    <w:rsid w:val="00DF0DF1"/>
    <w:rsid w:val="00DF2670"/>
    <w:rsid w:val="00DF2BEC"/>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4776"/>
    <w:rsid w:val="00E44D19"/>
    <w:rsid w:val="00E519E0"/>
    <w:rsid w:val="00E542C4"/>
    <w:rsid w:val="00E60CE2"/>
    <w:rsid w:val="00E60EA3"/>
    <w:rsid w:val="00E61305"/>
    <w:rsid w:val="00E620C7"/>
    <w:rsid w:val="00E6586A"/>
    <w:rsid w:val="00E721E2"/>
    <w:rsid w:val="00E73998"/>
    <w:rsid w:val="00E863EB"/>
    <w:rsid w:val="00E87925"/>
    <w:rsid w:val="00E9419C"/>
    <w:rsid w:val="00E959F9"/>
    <w:rsid w:val="00E9623A"/>
    <w:rsid w:val="00EA0274"/>
    <w:rsid w:val="00EA0E2B"/>
    <w:rsid w:val="00EA0EF8"/>
    <w:rsid w:val="00EA4D64"/>
    <w:rsid w:val="00EA4EB8"/>
    <w:rsid w:val="00EA62A2"/>
    <w:rsid w:val="00EA6F85"/>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FDC"/>
    <w:rsid w:val="00EF7125"/>
    <w:rsid w:val="00F001E4"/>
    <w:rsid w:val="00F02608"/>
    <w:rsid w:val="00F0304D"/>
    <w:rsid w:val="00F047D3"/>
    <w:rsid w:val="00F05410"/>
    <w:rsid w:val="00F0615E"/>
    <w:rsid w:val="00F0793A"/>
    <w:rsid w:val="00F125B0"/>
    <w:rsid w:val="00F24A83"/>
    <w:rsid w:val="00F260C7"/>
    <w:rsid w:val="00F2779C"/>
    <w:rsid w:val="00F27F1A"/>
    <w:rsid w:val="00F3018B"/>
    <w:rsid w:val="00F3031D"/>
    <w:rsid w:val="00F31074"/>
    <w:rsid w:val="00F41061"/>
    <w:rsid w:val="00F42C47"/>
    <w:rsid w:val="00F5421F"/>
    <w:rsid w:val="00F54C77"/>
    <w:rsid w:val="00F65931"/>
    <w:rsid w:val="00F65A44"/>
    <w:rsid w:val="00F66A15"/>
    <w:rsid w:val="00F67BAC"/>
    <w:rsid w:val="00F70DE1"/>
    <w:rsid w:val="00F7108D"/>
    <w:rsid w:val="00F745A2"/>
    <w:rsid w:val="00F74CCF"/>
    <w:rsid w:val="00F7569D"/>
    <w:rsid w:val="00F75F74"/>
    <w:rsid w:val="00F76581"/>
    <w:rsid w:val="00F860AC"/>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2">
    <w:name w:val="heading 2"/>
    <w:basedOn w:val="Normal"/>
    <w:next w:val="Normal"/>
    <w:link w:val="Heading2Char"/>
    <w:semiHidden/>
    <w:unhideWhenUsed/>
    <w:qFormat/>
    <w:rsid w:val="006F39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F39D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2">
    <w:name w:val="heading 2"/>
    <w:basedOn w:val="Normal"/>
    <w:next w:val="Normal"/>
    <w:link w:val="Heading2Char"/>
    <w:semiHidden/>
    <w:unhideWhenUsed/>
    <w:qFormat/>
    <w:rsid w:val="006F39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F39D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D622-EB9C-4DE9-B2B1-0540D818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B4836E84</Template>
  <TotalTime>4</TotalTime>
  <Pages>9</Pages>
  <Words>2261</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15256</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4</cp:revision>
  <cp:lastPrinted>2017-12-19T15:50:00Z</cp:lastPrinted>
  <dcterms:created xsi:type="dcterms:W3CDTF">2018-01-04T08:49:00Z</dcterms:created>
  <dcterms:modified xsi:type="dcterms:W3CDTF">2018-01-04T14:47:00Z</dcterms:modified>
</cp:coreProperties>
</file>